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5D" w:rsidRDefault="00D862A8" w:rsidP="00EE5D5D">
      <w:pPr>
        <w:spacing w:line="276" w:lineRule="auto"/>
        <w:jc w:val="both"/>
        <w:rPr>
          <w:i/>
        </w:rPr>
      </w:pPr>
      <w:r>
        <w:tab/>
      </w:r>
      <w:r>
        <w:tab/>
      </w:r>
      <w:r>
        <w:tab/>
      </w:r>
      <w:r>
        <w:tab/>
      </w:r>
      <w:r>
        <w:tab/>
      </w:r>
      <w:r>
        <w:tab/>
      </w:r>
      <w:r>
        <w:tab/>
      </w:r>
      <w:r>
        <w:tab/>
        <w:t xml:space="preserve">  Kraków, dnia </w:t>
      </w:r>
      <w:r w:rsidR="000D4211">
        <w:t>13 stycznia 2021</w:t>
      </w:r>
      <w:r>
        <w:t xml:space="preserve"> r.</w:t>
      </w:r>
    </w:p>
    <w:p w:rsidR="0074156B" w:rsidRPr="0074156B" w:rsidRDefault="0074156B" w:rsidP="0061651F">
      <w:pPr>
        <w:spacing w:line="276" w:lineRule="auto"/>
        <w:jc w:val="both"/>
      </w:pPr>
      <w:r w:rsidRPr="0074156B">
        <w:t>„</w:t>
      </w:r>
      <w:r w:rsidR="00E55C1A">
        <w:t>ZATWIERDZAM</w:t>
      </w:r>
      <w:r w:rsidRPr="0074156B">
        <w:t>”</w:t>
      </w:r>
    </w:p>
    <w:p w:rsidR="0074156B" w:rsidRDefault="0074156B" w:rsidP="0061651F">
      <w:pPr>
        <w:spacing w:line="276" w:lineRule="auto"/>
        <w:jc w:val="both"/>
        <w:rPr>
          <w:i/>
        </w:rPr>
      </w:pPr>
    </w:p>
    <w:p w:rsidR="0074156B" w:rsidRDefault="0074156B" w:rsidP="0061651F">
      <w:pPr>
        <w:spacing w:line="276" w:lineRule="auto"/>
        <w:jc w:val="both"/>
        <w:rPr>
          <w:i/>
        </w:rPr>
      </w:pPr>
    </w:p>
    <w:p w:rsidR="0074156B" w:rsidRDefault="0074156B" w:rsidP="0061651F">
      <w:pPr>
        <w:spacing w:line="276" w:lineRule="auto"/>
        <w:jc w:val="both"/>
        <w:rPr>
          <w:i/>
        </w:rPr>
      </w:pPr>
      <w:r>
        <w:rPr>
          <w:i/>
        </w:rPr>
        <w:t>………………………</w:t>
      </w:r>
    </w:p>
    <w:p w:rsidR="00651B6C" w:rsidRDefault="00651B6C" w:rsidP="0061651F">
      <w:pPr>
        <w:spacing w:line="276" w:lineRule="auto"/>
        <w:jc w:val="both"/>
        <w:rPr>
          <w:i/>
        </w:rPr>
      </w:pPr>
    </w:p>
    <w:p w:rsidR="004656C5" w:rsidRDefault="00DC3943" w:rsidP="0061651F">
      <w:pPr>
        <w:spacing w:line="276" w:lineRule="auto"/>
        <w:jc w:val="both"/>
      </w:pPr>
      <w:r>
        <w:rPr>
          <w:i/>
        </w:rPr>
        <w:t xml:space="preserve">                                                                                  </w:t>
      </w:r>
    </w:p>
    <w:p w:rsidR="00B9091A" w:rsidRDefault="00DD40D5" w:rsidP="0061651F">
      <w:pPr>
        <w:spacing w:line="276" w:lineRule="auto"/>
        <w:jc w:val="both"/>
        <w:rPr>
          <w:szCs w:val="24"/>
        </w:rPr>
      </w:pPr>
      <w:r>
        <w:rPr>
          <w:szCs w:val="24"/>
        </w:rPr>
        <w:t>AN</w:t>
      </w:r>
      <w:r w:rsidR="00D862A8">
        <w:rPr>
          <w:szCs w:val="24"/>
        </w:rPr>
        <w:t>.033.1.20</w:t>
      </w:r>
      <w:r w:rsidR="002B1096">
        <w:rPr>
          <w:szCs w:val="24"/>
        </w:rPr>
        <w:t>2</w:t>
      </w:r>
      <w:r w:rsidR="00E55C1A">
        <w:rPr>
          <w:szCs w:val="24"/>
        </w:rPr>
        <w:t>1</w:t>
      </w:r>
      <w:r w:rsidR="00293581">
        <w:rPr>
          <w:szCs w:val="24"/>
        </w:rPr>
        <w:t>.</w:t>
      </w:r>
      <w:r w:rsidR="00E55C1A">
        <w:rPr>
          <w:szCs w:val="24"/>
        </w:rPr>
        <w:t>TC</w:t>
      </w:r>
    </w:p>
    <w:p w:rsidR="00B9091A" w:rsidRDefault="00B9091A" w:rsidP="0061651F">
      <w:pPr>
        <w:spacing w:line="276" w:lineRule="auto"/>
        <w:jc w:val="both"/>
      </w:pPr>
    </w:p>
    <w:p w:rsidR="00D828BD" w:rsidRDefault="00D828BD" w:rsidP="0061651F">
      <w:pPr>
        <w:spacing w:line="276" w:lineRule="auto"/>
        <w:jc w:val="both"/>
      </w:pPr>
    </w:p>
    <w:p w:rsidR="005F13DE" w:rsidRDefault="005F13DE" w:rsidP="0061651F">
      <w:pPr>
        <w:spacing w:line="276" w:lineRule="auto"/>
        <w:jc w:val="both"/>
      </w:pPr>
    </w:p>
    <w:p w:rsidR="00B9091A" w:rsidRDefault="00B9091A" w:rsidP="0061651F">
      <w:pPr>
        <w:spacing w:line="276" w:lineRule="auto"/>
        <w:jc w:val="center"/>
        <w:rPr>
          <w:b/>
        </w:rPr>
      </w:pPr>
      <w:bookmarkStart w:id="0" w:name="_GoBack"/>
      <w:r>
        <w:rPr>
          <w:b/>
        </w:rPr>
        <w:t>SPRAWOZDANIE</w:t>
      </w:r>
    </w:p>
    <w:p w:rsidR="00B9091A" w:rsidRPr="00017D6A" w:rsidRDefault="00B9091A" w:rsidP="0061651F">
      <w:pPr>
        <w:spacing w:line="276" w:lineRule="auto"/>
        <w:jc w:val="center"/>
        <w:rPr>
          <w:b/>
        </w:rPr>
      </w:pPr>
      <w:r w:rsidRPr="00017D6A">
        <w:rPr>
          <w:b/>
        </w:rPr>
        <w:t>z działalności kontrolnej Wydział</w:t>
      </w:r>
      <w:r w:rsidR="00017D6A" w:rsidRPr="00017D6A">
        <w:rPr>
          <w:b/>
        </w:rPr>
        <w:t xml:space="preserve">u </w:t>
      </w:r>
      <w:r w:rsidR="00015191">
        <w:rPr>
          <w:b/>
        </w:rPr>
        <w:t xml:space="preserve">Ochrony Informacji Niejawnych i </w:t>
      </w:r>
      <w:r w:rsidR="00B40A1B">
        <w:rPr>
          <w:b/>
        </w:rPr>
        <w:t xml:space="preserve">Archiwum KWP w Krakowie w </w:t>
      </w:r>
      <w:r w:rsidR="00E55C1A">
        <w:rPr>
          <w:b/>
        </w:rPr>
        <w:t>2020</w:t>
      </w:r>
      <w:r w:rsidRPr="00017D6A">
        <w:rPr>
          <w:b/>
        </w:rPr>
        <w:t xml:space="preserve"> roku </w:t>
      </w:r>
    </w:p>
    <w:bookmarkEnd w:id="0"/>
    <w:p w:rsidR="00B9091A" w:rsidRDefault="00B9091A" w:rsidP="0061651F">
      <w:pPr>
        <w:spacing w:line="276" w:lineRule="auto"/>
        <w:jc w:val="center"/>
      </w:pPr>
    </w:p>
    <w:p w:rsidR="00D828BD" w:rsidRDefault="00D828BD" w:rsidP="0061651F">
      <w:pPr>
        <w:spacing w:line="276" w:lineRule="auto"/>
        <w:jc w:val="center"/>
      </w:pPr>
    </w:p>
    <w:p w:rsidR="007D05A3" w:rsidRDefault="00017D6A" w:rsidP="003314FC">
      <w:pPr>
        <w:widowControl/>
        <w:suppressAutoHyphens w:val="0"/>
        <w:spacing w:after="120" w:line="276" w:lineRule="auto"/>
        <w:ind w:firstLine="851"/>
        <w:jc w:val="both"/>
        <w:rPr>
          <w:rFonts w:eastAsia="Times New Roman"/>
          <w:szCs w:val="24"/>
          <w:lang w:eastAsia="pl-PL"/>
        </w:rPr>
      </w:pPr>
      <w:r w:rsidRPr="00BC2801">
        <w:rPr>
          <w:rFonts w:eastAsia="Times New Roman"/>
          <w:szCs w:val="24"/>
          <w:lang w:eastAsia="pl-PL"/>
        </w:rPr>
        <w:t xml:space="preserve">W roku sprawozdawczym </w:t>
      </w:r>
      <w:r w:rsidR="00015191" w:rsidRPr="00BC2801">
        <w:rPr>
          <w:rFonts w:eastAsia="Times New Roman"/>
          <w:szCs w:val="24"/>
          <w:lang w:eastAsia="pl-PL"/>
        </w:rPr>
        <w:t>Wydział Ochrony Informacji Ni</w:t>
      </w:r>
      <w:r w:rsidR="000F119A" w:rsidRPr="00BC2801">
        <w:rPr>
          <w:rFonts w:eastAsia="Times New Roman"/>
          <w:szCs w:val="24"/>
          <w:lang w:eastAsia="pl-PL"/>
        </w:rPr>
        <w:t>e</w:t>
      </w:r>
      <w:r w:rsidR="00015191" w:rsidRPr="00BC2801">
        <w:rPr>
          <w:rFonts w:eastAsia="Times New Roman"/>
          <w:szCs w:val="24"/>
          <w:lang w:eastAsia="pl-PL"/>
        </w:rPr>
        <w:t>jawnych</w:t>
      </w:r>
      <w:r w:rsidR="00A16B88" w:rsidRPr="00BC2801">
        <w:rPr>
          <w:rFonts w:eastAsia="Times New Roman"/>
          <w:szCs w:val="24"/>
          <w:lang w:eastAsia="pl-PL"/>
        </w:rPr>
        <w:t xml:space="preserve"> i</w:t>
      </w:r>
      <w:r w:rsidR="000F119A" w:rsidRPr="00BC2801">
        <w:rPr>
          <w:rFonts w:eastAsia="Times New Roman"/>
          <w:szCs w:val="24"/>
          <w:lang w:eastAsia="pl-PL"/>
        </w:rPr>
        <w:t xml:space="preserve"> Archiwum</w:t>
      </w:r>
      <w:r w:rsidRPr="00BC2801">
        <w:rPr>
          <w:rFonts w:eastAsia="Times New Roman"/>
          <w:szCs w:val="24"/>
          <w:lang w:eastAsia="pl-PL"/>
        </w:rPr>
        <w:t xml:space="preserve"> KWP w Krakowie realizował kontrole wynikające z </w:t>
      </w:r>
      <w:r w:rsidRPr="00BC2801">
        <w:rPr>
          <w:rFonts w:eastAsia="Times New Roman"/>
          <w:i/>
          <w:szCs w:val="24"/>
          <w:lang w:eastAsia="pl-PL"/>
        </w:rPr>
        <w:t>Planu kontroli Wydziału</w:t>
      </w:r>
      <w:r w:rsidR="000F119A" w:rsidRPr="00BC2801">
        <w:rPr>
          <w:rFonts w:eastAsia="Times New Roman"/>
          <w:i/>
          <w:szCs w:val="24"/>
          <w:lang w:eastAsia="pl-PL"/>
        </w:rPr>
        <w:t xml:space="preserve"> Ochrony Informacji Niejawnych i Archiwum</w:t>
      </w:r>
      <w:r w:rsidRPr="00BC2801">
        <w:rPr>
          <w:rFonts w:eastAsia="Times New Roman"/>
          <w:i/>
          <w:szCs w:val="24"/>
          <w:lang w:eastAsia="pl-PL"/>
        </w:rPr>
        <w:t xml:space="preserve"> KWP w Krakowie </w:t>
      </w:r>
      <w:r w:rsidR="00513408" w:rsidRPr="00BC2801">
        <w:rPr>
          <w:rFonts w:eastAsia="Times New Roman"/>
          <w:i/>
          <w:szCs w:val="24"/>
          <w:lang w:eastAsia="pl-PL"/>
        </w:rPr>
        <w:t xml:space="preserve">na </w:t>
      </w:r>
      <w:r w:rsidR="00087B97" w:rsidRPr="00BC2801">
        <w:rPr>
          <w:rFonts w:eastAsia="Times New Roman"/>
          <w:i/>
          <w:szCs w:val="24"/>
          <w:lang w:eastAsia="pl-PL"/>
        </w:rPr>
        <w:t xml:space="preserve">rok </w:t>
      </w:r>
      <w:r w:rsidR="00E55C1A">
        <w:rPr>
          <w:rFonts w:eastAsia="Times New Roman"/>
          <w:i/>
          <w:szCs w:val="24"/>
          <w:lang w:eastAsia="pl-PL"/>
        </w:rPr>
        <w:t xml:space="preserve">2020, </w:t>
      </w:r>
      <w:r w:rsidR="00087B97" w:rsidRPr="00BC2801">
        <w:rPr>
          <w:rFonts w:eastAsia="Times New Roman"/>
          <w:szCs w:val="24"/>
          <w:lang w:eastAsia="pl-PL"/>
        </w:rPr>
        <w:t>zatwierdzonego przez Komendanta Wojewódzkiego Policji w Krakowie</w:t>
      </w:r>
      <w:r w:rsidR="00E55C1A">
        <w:rPr>
          <w:rFonts w:eastAsia="Times New Roman"/>
          <w:szCs w:val="24"/>
          <w:lang w:eastAsia="pl-PL"/>
        </w:rPr>
        <w:t xml:space="preserve"> </w:t>
      </w:r>
      <w:r w:rsidR="006F456E" w:rsidRPr="00BC2801">
        <w:rPr>
          <w:rFonts w:eastAsia="Times New Roman"/>
          <w:szCs w:val="24"/>
          <w:lang w:eastAsia="pl-PL"/>
        </w:rPr>
        <w:t>nad</w:t>
      </w:r>
      <w:r w:rsidR="00634348" w:rsidRPr="00BC2801">
        <w:rPr>
          <w:rFonts w:eastAsia="Times New Roman"/>
          <w:szCs w:val="24"/>
          <w:lang w:eastAsia="pl-PL"/>
        </w:rPr>
        <w:t xml:space="preserve">insp. </w:t>
      </w:r>
      <w:r w:rsidR="003314FC">
        <w:rPr>
          <w:rFonts w:eastAsia="Times New Roman"/>
          <w:szCs w:val="24"/>
          <w:lang w:eastAsia="pl-PL"/>
        </w:rPr>
        <w:t xml:space="preserve">dr </w:t>
      </w:r>
      <w:r w:rsidR="00126878">
        <w:rPr>
          <w:rFonts w:eastAsia="Times New Roman"/>
          <w:szCs w:val="24"/>
          <w:lang w:eastAsia="pl-PL"/>
        </w:rPr>
        <w:t>Krzysztofa Pobutę</w:t>
      </w:r>
      <w:r w:rsidR="00634348" w:rsidRPr="00BC2801">
        <w:rPr>
          <w:rFonts w:eastAsia="Times New Roman"/>
          <w:szCs w:val="24"/>
          <w:lang w:eastAsia="pl-PL"/>
        </w:rPr>
        <w:t>.</w:t>
      </w:r>
      <w:r w:rsidRPr="00BC2801">
        <w:rPr>
          <w:rFonts w:eastAsia="Times New Roman"/>
          <w:szCs w:val="24"/>
          <w:lang w:eastAsia="pl-PL"/>
        </w:rPr>
        <w:t xml:space="preserve"> </w:t>
      </w:r>
    </w:p>
    <w:p w:rsidR="00B9091A" w:rsidRPr="001D417A" w:rsidRDefault="00017D6A" w:rsidP="007D05A3">
      <w:pPr>
        <w:widowControl/>
        <w:suppressAutoHyphens w:val="0"/>
        <w:spacing w:after="120" w:line="276" w:lineRule="auto"/>
        <w:ind w:firstLine="851"/>
        <w:jc w:val="both"/>
        <w:rPr>
          <w:rFonts w:eastAsia="Times New Roman"/>
          <w:szCs w:val="24"/>
          <w:lang w:eastAsia="pl-PL"/>
        </w:rPr>
      </w:pPr>
      <w:r w:rsidRPr="00F57367">
        <w:rPr>
          <w:szCs w:val="24"/>
        </w:rPr>
        <w:t xml:space="preserve">W </w:t>
      </w:r>
      <w:r w:rsidR="00BE376D">
        <w:rPr>
          <w:szCs w:val="24"/>
        </w:rPr>
        <w:t>2020</w:t>
      </w:r>
      <w:r w:rsidR="006F456E" w:rsidRPr="00F57367">
        <w:rPr>
          <w:szCs w:val="24"/>
        </w:rPr>
        <w:t xml:space="preserve"> r</w:t>
      </w:r>
      <w:r w:rsidR="00A917BE" w:rsidRPr="00F57367">
        <w:rPr>
          <w:szCs w:val="24"/>
        </w:rPr>
        <w:t>oku Wydział Ochrony Informacji N</w:t>
      </w:r>
      <w:r w:rsidR="006F456E" w:rsidRPr="00F57367">
        <w:rPr>
          <w:szCs w:val="24"/>
        </w:rPr>
        <w:t>iejawnych i Archiwum</w:t>
      </w:r>
      <w:r w:rsidR="00B9091A" w:rsidRPr="00F57367">
        <w:rPr>
          <w:szCs w:val="24"/>
        </w:rPr>
        <w:t xml:space="preserve"> KWP</w:t>
      </w:r>
      <w:r w:rsidR="00BC2801" w:rsidRPr="00F57367">
        <w:rPr>
          <w:szCs w:val="24"/>
        </w:rPr>
        <w:t xml:space="preserve"> </w:t>
      </w:r>
      <w:r w:rsidR="001D417A" w:rsidRPr="00F57367">
        <w:rPr>
          <w:i/>
          <w:szCs w:val="24"/>
        </w:rPr>
        <w:br/>
      </w:r>
      <w:r w:rsidR="00B9091A" w:rsidRPr="00F57367">
        <w:rPr>
          <w:szCs w:val="24"/>
        </w:rPr>
        <w:t xml:space="preserve">w </w:t>
      </w:r>
      <w:r w:rsidR="001D417A" w:rsidRPr="00F57367">
        <w:rPr>
          <w:szCs w:val="24"/>
        </w:rPr>
        <w:t>K</w:t>
      </w:r>
      <w:r w:rsidR="00B9091A" w:rsidRPr="00F57367">
        <w:rPr>
          <w:szCs w:val="24"/>
        </w:rPr>
        <w:t xml:space="preserve">rakowie </w:t>
      </w:r>
      <w:r w:rsidR="00DA164E" w:rsidRPr="00F57367">
        <w:rPr>
          <w:szCs w:val="24"/>
        </w:rPr>
        <w:t>prowadził</w:t>
      </w:r>
      <w:r w:rsidR="00B9091A" w:rsidRPr="00F57367">
        <w:rPr>
          <w:szCs w:val="24"/>
        </w:rPr>
        <w:t xml:space="preserve"> działalność kontrolną w oparciu o przepisy</w:t>
      </w:r>
      <w:r w:rsidR="006F456E" w:rsidRPr="00F57367">
        <w:rPr>
          <w:szCs w:val="24"/>
        </w:rPr>
        <w:t xml:space="preserve"> </w:t>
      </w:r>
      <w:r w:rsidR="00B9091A" w:rsidRPr="00F57367">
        <w:rPr>
          <w:szCs w:val="24"/>
        </w:rPr>
        <w:t>Ustawy z dnia 15 lipca 2011</w:t>
      </w:r>
      <w:r w:rsidR="00A917BE" w:rsidRPr="00F57367">
        <w:rPr>
          <w:szCs w:val="24"/>
        </w:rPr>
        <w:t xml:space="preserve"> </w:t>
      </w:r>
      <w:r w:rsidR="00B9091A" w:rsidRPr="00F57367">
        <w:rPr>
          <w:szCs w:val="24"/>
        </w:rPr>
        <w:t>r</w:t>
      </w:r>
      <w:r w:rsidR="003E5C61">
        <w:rPr>
          <w:szCs w:val="24"/>
        </w:rPr>
        <w:t>oku</w:t>
      </w:r>
      <w:r w:rsidR="00B9091A" w:rsidRPr="00F57367">
        <w:rPr>
          <w:szCs w:val="24"/>
        </w:rPr>
        <w:t xml:space="preserve"> </w:t>
      </w:r>
      <w:r w:rsidR="00B9091A" w:rsidRPr="0080133A">
        <w:rPr>
          <w:i/>
          <w:iCs/>
          <w:szCs w:val="24"/>
        </w:rPr>
        <w:t>o kontrol</w:t>
      </w:r>
      <w:r w:rsidR="006F456E" w:rsidRPr="0080133A">
        <w:rPr>
          <w:i/>
          <w:iCs/>
          <w:szCs w:val="24"/>
        </w:rPr>
        <w:t>i w a</w:t>
      </w:r>
      <w:r w:rsidR="00B9091A" w:rsidRPr="0080133A">
        <w:rPr>
          <w:i/>
          <w:iCs/>
          <w:szCs w:val="24"/>
        </w:rPr>
        <w:t>dministracji</w:t>
      </w:r>
      <w:r w:rsidR="006F456E" w:rsidRPr="0080133A">
        <w:rPr>
          <w:i/>
          <w:iCs/>
          <w:szCs w:val="24"/>
        </w:rPr>
        <w:t xml:space="preserve"> </w:t>
      </w:r>
      <w:r w:rsidR="00B9091A" w:rsidRPr="0080133A">
        <w:rPr>
          <w:i/>
          <w:iCs/>
          <w:szCs w:val="24"/>
        </w:rPr>
        <w:t>rządowe</w:t>
      </w:r>
      <w:r w:rsidR="00BC2801" w:rsidRPr="0080133A">
        <w:rPr>
          <w:i/>
          <w:iCs/>
          <w:szCs w:val="24"/>
        </w:rPr>
        <w:t>j</w:t>
      </w:r>
      <w:r w:rsidR="00BC2801" w:rsidRPr="00F57367">
        <w:rPr>
          <w:iCs/>
          <w:szCs w:val="24"/>
        </w:rPr>
        <w:t xml:space="preserve"> (</w:t>
      </w:r>
      <w:r w:rsidR="00BC2801" w:rsidRPr="00F57367">
        <w:rPr>
          <w:rStyle w:val="h1"/>
          <w:szCs w:val="24"/>
        </w:rPr>
        <w:t>Dz.U. 2011 nr 185 poz. 1092)</w:t>
      </w:r>
      <w:r w:rsidR="00DD40D5" w:rsidRPr="00F57367">
        <w:rPr>
          <w:iCs/>
          <w:szCs w:val="24"/>
        </w:rPr>
        <w:t>, Decyzję nr 65 Ministra Spraw Wewnętrznych z dnia 31 maja 2012</w:t>
      </w:r>
      <w:r w:rsidR="00B9563C">
        <w:rPr>
          <w:iCs/>
          <w:szCs w:val="24"/>
        </w:rPr>
        <w:t xml:space="preserve"> </w:t>
      </w:r>
      <w:r w:rsidR="00DD40D5" w:rsidRPr="00F57367">
        <w:rPr>
          <w:iCs/>
          <w:szCs w:val="24"/>
        </w:rPr>
        <w:t>r</w:t>
      </w:r>
      <w:r w:rsidR="003E5C61">
        <w:rPr>
          <w:iCs/>
          <w:szCs w:val="24"/>
        </w:rPr>
        <w:t>oku</w:t>
      </w:r>
      <w:r w:rsidR="00DD40D5" w:rsidRPr="00F57367">
        <w:rPr>
          <w:iCs/>
          <w:szCs w:val="24"/>
        </w:rPr>
        <w:t xml:space="preserve"> </w:t>
      </w:r>
      <w:r w:rsidR="00DD40D5" w:rsidRPr="0080133A">
        <w:rPr>
          <w:i/>
          <w:iCs/>
          <w:szCs w:val="24"/>
        </w:rPr>
        <w:t>w sprawie wprowadzenia do stosowania</w:t>
      </w:r>
      <w:r w:rsidR="00BC2801" w:rsidRPr="0080133A">
        <w:rPr>
          <w:i/>
          <w:iCs/>
          <w:szCs w:val="24"/>
        </w:rPr>
        <w:t xml:space="preserve"> </w:t>
      </w:r>
      <w:r w:rsidR="00DD40D5" w:rsidRPr="0080133A">
        <w:rPr>
          <w:i/>
          <w:iCs/>
          <w:szCs w:val="24"/>
        </w:rPr>
        <w:t>wytycznych w zakresie zasad</w:t>
      </w:r>
      <w:r w:rsidR="00BC2801" w:rsidRPr="0080133A">
        <w:rPr>
          <w:i/>
          <w:iCs/>
          <w:szCs w:val="24"/>
        </w:rPr>
        <w:t xml:space="preserve"> </w:t>
      </w:r>
      <w:r w:rsidR="00DD40D5" w:rsidRPr="0080133A">
        <w:rPr>
          <w:i/>
          <w:iCs/>
          <w:szCs w:val="24"/>
        </w:rPr>
        <w:t>i</w:t>
      </w:r>
      <w:r w:rsidR="00BC2801" w:rsidRPr="0080133A">
        <w:rPr>
          <w:i/>
          <w:iCs/>
          <w:szCs w:val="24"/>
        </w:rPr>
        <w:t xml:space="preserve"> </w:t>
      </w:r>
      <w:r w:rsidR="00DD40D5" w:rsidRPr="0080133A">
        <w:rPr>
          <w:i/>
          <w:iCs/>
          <w:szCs w:val="24"/>
        </w:rPr>
        <w:t>trybu przeprowadzania kontroli w urzędach obsługujących organy lub w jednostkach organizacyjnych podległych lub nadzorowanych przez Ministra Spraw Wewnętrznych</w:t>
      </w:r>
      <w:r w:rsidR="00B9091A" w:rsidRPr="00F57367">
        <w:rPr>
          <w:szCs w:val="24"/>
        </w:rPr>
        <w:t xml:space="preserve"> </w:t>
      </w:r>
      <w:r w:rsidR="00BC2801" w:rsidRPr="0080133A">
        <w:rPr>
          <w:szCs w:val="24"/>
        </w:rPr>
        <w:t>(</w:t>
      </w:r>
      <w:proofErr w:type="spellStart"/>
      <w:r w:rsidR="001D417A" w:rsidRPr="0080133A">
        <w:rPr>
          <w:szCs w:val="24"/>
        </w:rPr>
        <w:t>Dz.Urz</w:t>
      </w:r>
      <w:proofErr w:type="spellEnd"/>
      <w:r w:rsidR="001D417A" w:rsidRPr="0080133A">
        <w:rPr>
          <w:szCs w:val="24"/>
        </w:rPr>
        <w:t>. MSW z 2012</w:t>
      </w:r>
      <w:r w:rsidR="00B9563C">
        <w:rPr>
          <w:szCs w:val="24"/>
        </w:rPr>
        <w:t xml:space="preserve"> </w:t>
      </w:r>
      <w:r w:rsidR="00BC2801" w:rsidRPr="0080133A">
        <w:rPr>
          <w:szCs w:val="24"/>
        </w:rPr>
        <w:t>r. poz. 43 z późn. zm</w:t>
      </w:r>
      <w:r w:rsidR="00BC2801" w:rsidRPr="00F57367">
        <w:rPr>
          <w:szCs w:val="24"/>
        </w:rPr>
        <w:t xml:space="preserve">.) </w:t>
      </w:r>
      <w:r w:rsidR="00B9091A" w:rsidRPr="00F57367">
        <w:rPr>
          <w:szCs w:val="24"/>
        </w:rPr>
        <w:t xml:space="preserve">oraz Decyzję nr </w:t>
      </w:r>
      <w:r w:rsidR="006F456E" w:rsidRPr="00F57367">
        <w:rPr>
          <w:szCs w:val="24"/>
        </w:rPr>
        <w:t>319</w:t>
      </w:r>
      <w:r w:rsidR="00B9091A" w:rsidRPr="00F57367">
        <w:rPr>
          <w:szCs w:val="24"/>
        </w:rPr>
        <w:t xml:space="preserve"> </w:t>
      </w:r>
      <w:r w:rsidR="006F456E" w:rsidRPr="00F57367">
        <w:rPr>
          <w:szCs w:val="24"/>
        </w:rPr>
        <w:t xml:space="preserve">Komendanta Głównego Policji z dnia 17 października 2012 roku </w:t>
      </w:r>
      <w:r w:rsidR="00B9091A" w:rsidRPr="0080133A">
        <w:rPr>
          <w:i/>
          <w:iCs/>
          <w:szCs w:val="24"/>
        </w:rPr>
        <w:t>w sprawie stosowania wytycznych w zakresie zasad i trybu przeprowadzania kontroli w urzędach obsługujących organy lub w jednostkach organizacyjnych podległych lub nadzorowanych pr</w:t>
      </w:r>
      <w:r w:rsidR="001D417A" w:rsidRPr="0080133A">
        <w:rPr>
          <w:i/>
          <w:szCs w:val="24"/>
        </w:rPr>
        <w:t>zez Ministra Spraw Wewnętrznych</w:t>
      </w:r>
      <w:r w:rsidR="006F456E" w:rsidRPr="00F57367">
        <w:rPr>
          <w:iCs/>
          <w:szCs w:val="24"/>
        </w:rPr>
        <w:t xml:space="preserve"> </w:t>
      </w:r>
      <w:r w:rsidR="00BC2801" w:rsidRPr="00F57367">
        <w:rPr>
          <w:szCs w:val="24"/>
        </w:rPr>
        <w:t>(</w:t>
      </w:r>
      <w:proofErr w:type="spellStart"/>
      <w:r w:rsidR="00BC2801" w:rsidRPr="00F57367">
        <w:rPr>
          <w:szCs w:val="24"/>
        </w:rPr>
        <w:t>Dz.Urz</w:t>
      </w:r>
      <w:proofErr w:type="spellEnd"/>
      <w:r w:rsidR="00BC2801" w:rsidRPr="00F57367">
        <w:rPr>
          <w:szCs w:val="24"/>
        </w:rPr>
        <w:t xml:space="preserve">. KGP z </w:t>
      </w:r>
      <w:r w:rsidR="00BC2801" w:rsidRPr="0080133A">
        <w:rPr>
          <w:szCs w:val="24"/>
        </w:rPr>
        <w:t xml:space="preserve">dnia 18 </w:t>
      </w:r>
      <w:r w:rsidR="001D417A" w:rsidRPr="0080133A">
        <w:rPr>
          <w:szCs w:val="24"/>
        </w:rPr>
        <w:t>października 2012</w:t>
      </w:r>
      <w:r w:rsidR="00B9563C">
        <w:rPr>
          <w:szCs w:val="24"/>
        </w:rPr>
        <w:t xml:space="preserve"> </w:t>
      </w:r>
      <w:r w:rsidR="001D417A" w:rsidRPr="0080133A">
        <w:rPr>
          <w:szCs w:val="24"/>
        </w:rPr>
        <w:t>r</w:t>
      </w:r>
      <w:r w:rsidR="003E5C61">
        <w:rPr>
          <w:szCs w:val="24"/>
        </w:rPr>
        <w:t>.</w:t>
      </w:r>
      <w:r w:rsidR="001D417A" w:rsidRPr="0080133A">
        <w:rPr>
          <w:szCs w:val="24"/>
        </w:rPr>
        <w:t xml:space="preserve">, poz. 55 </w:t>
      </w:r>
      <w:r w:rsidR="001D417A" w:rsidRPr="0080133A">
        <w:rPr>
          <w:szCs w:val="24"/>
        </w:rPr>
        <w:br/>
        <w:t>z późn.</w:t>
      </w:r>
      <w:r w:rsidR="00BC2801" w:rsidRPr="0080133A">
        <w:rPr>
          <w:szCs w:val="24"/>
        </w:rPr>
        <w:t xml:space="preserve"> zm</w:t>
      </w:r>
      <w:r w:rsidR="001D417A" w:rsidRPr="00F57367">
        <w:rPr>
          <w:i/>
          <w:szCs w:val="24"/>
        </w:rPr>
        <w:t>.</w:t>
      </w:r>
      <w:r w:rsidR="00BC2801" w:rsidRPr="00F57367">
        <w:rPr>
          <w:szCs w:val="24"/>
        </w:rPr>
        <w:t>)</w:t>
      </w:r>
      <w:r w:rsidR="001D417A" w:rsidRPr="00F57367">
        <w:rPr>
          <w:i/>
          <w:szCs w:val="24"/>
        </w:rPr>
        <w:t xml:space="preserve"> </w:t>
      </w:r>
      <w:r w:rsidR="006F456E" w:rsidRPr="00F57367">
        <w:rPr>
          <w:iCs/>
          <w:szCs w:val="24"/>
        </w:rPr>
        <w:t>oraz</w:t>
      </w:r>
      <w:r w:rsidR="00B9091A" w:rsidRPr="00F57367">
        <w:rPr>
          <w:rFonts w:eastAsia="Times New Roman"/>
          <w:szCs w:val="24"/>
          <w:lang w:eastAsia="pl-PL"/>
        </w:rPr>
        <w:t xml:space="preserve"> </w:t>
      </w:r>
      <w:r w:rsidR="00B9091A" w:rsidRPr="0080133A">
        <w:rPr>
          <w:rFonts w:eastAsia="Times New Roman"/>
          <w:i/>
          <w:iCs/>
          <w:szCs w:val="24"/>
          <w:lang w:eastAsia="pl-PL"/>
        </w:rPr>
        <w:t>Standardy kontroli w administracji rządowej</w:t>
      </w:r>
      <w:r w:rsidR="00D90A0F">
        <w:rPr>
          <w:rFonts w:eastAsia="Times New Roman"/>
          <w:szCs w:val="24"/>
          <w:lang w:eastAsia="pl-PL"/>
        </w:rPr>
        <w:t>, z dnia 31 sierpnia</w:t>
      </w:r>
      <w:r w:rsidR="00B9091A" w:rsidRPr="00F57367">
        <w:rPr>
          <w:rFonts w:eastAsia="Times New Roman"/>
          <w:szCs w:val="24"/>
          <w:lang w:eastAsia="pl-PL"/>
        </w:rPr>
        <w:t xml:space="preserve"> 2</w:t>
      </w:r>
      <w:r w:rsidR="00D90A0F">
        <w:rPr>
          <w:rFonts w:eastAsia="Times New Roman"/>
          <w:szCs w:val="24"/>
          <w:lang w:eastAsia="pl-PL"/>
        </w:rPr>
        <w:t>017</w:t>
      </w:r>
      <w:r w:rsidR="00B9563C">
        <w:rPr>
          <w:rFonts w:eastAsia="Times New Roman"/>
          <w:szCs w:val="24"/>
          <w:lang w:eastAsia="pl-PL"/>
        </w:rPr>
        <w:t xml:space="preserve"> </w:t>
      </w:r>
      <w:r w:rsidR="00A917BE" w:rsidRPr="00F57367">
        <w:rPr>
          <w:rFonts w:eastAsia="Times New Roman"/>
          <w:szCs w:val="24"/>
          <w:lang w:eastAsia="pl-PL"/>
        </w:rPr>
        <w:t>r</w:t>
      </w:r>
      <w:r w:rsidR="003E5C61">
        <w:rPr>
          <w:rFonts w:eastAsia="Times New Roman"/>
          <w:szCs w:val="24"/>
          <w:lang w:eastAsia="pl-PL"/>
        </w:rPr>
        <w:t>oku</w:t>
      </w:r>
      <w:r w:rsidR="00A917BE" w:rsidRPr="00F57367">
        <w:rPr>
          <w:rFonts w:eastAsia="Times New Roman"/>
          <w:szCs w:val="24"/>
          <w:lang w:eastAsia="pl-PL"/>
        </w:rPr>
        <w:t xml:space="preserve"> opublikowane na stronie i</w:t>
      </w:r>
      <w:r w:rsidR="00B9091A" w:rsidRPr="00F57367">
        <w:rPr>
          <w:rFonts w:eastAsia="Times New Roman"/>
          <w:szCs w:val="24"/>
          <w:lang w:eastAsia="pl-PL"/>
        </w:rPr>
        <w:t>nternetowej Biuletynu Informacji</w:t>
      </w:r>
      <w:r w:rsidR="00B9091A" w:rsidRPr="001D417A">
        <w:rPr>
          <w:rFonts w:eastAsia="Times New Roman"/>
          <w:szCs w:val="24"/>
          <w:lang w:eastAsia="pl-PL"/>
        </w:rPr>
        <w:t xml:space="preserve"> Publicznej Kancelarii Prezesa Rady Ministrów</w:t>
      </w:r>
      <w:r w:rsidR="005D7B87">
        <w:rPr>
          <w:rFonts w:eastAsia="Times New Roman"/>
          <w:szCs w:val="24"/>
          <w:lang w:eastAsia="pl-PL"/>
        </w:rPr>
        <w:t>, a także art. 15 Ustawy o ochronie informacji niejawnych z dnia 5 sierpnia 2010</w:t>
      </w:r>
      <w:r w:rsidR="00B9563C">
        <w:rPr>
          <w:rFonts w:eastAsia="Times New Roman"/>
          <w:szCs w:val="24"/>
          <w:lang w:eastAsia="pl-PL"/>
        </w:rPr>
        <w:t xml:space="preserve"> </w:t>
      </w:r>
      <w:r w:rsidR="005D7B87">
        <w:rPr>
          <w:rFonts w:eastAsia="Times New Roman"/>
          <w:szCs w:val="24"/>
          <w:lang w:eastAsia="pl-PL"/>
        </w:rPr>
        <w:t>r</w:t>
      </w:r>
      <w:r w:rsidR="003E5C61">
        <w:rPr>
          <w:rFonts w:eastAsia="Times New Roman"/>
          <w:szCs w:val="24"/>
          <w:lang w:eastAsia="pl-PL"/>
        </w:rPr>
        <w:t>oku</w:t>
      </w:r>
      <w:r w:rsidR="00B9563C">
        <w:rPr>
          <w:rFonts w:eastAsia="Times New Roman"/>
          <w:szCs w:val="24"/>
          <w:lang w:eastAsia="pl-PL"/>
        </w:rPr>
        <w:t xml:space="preserve"> </w:t>
      </w:r>
      <w:r w:rsidR="007A0EDC">
        <w:rPr>
          <w:rFonts w:eastAsia="Times New Roman"/>
          <w:szCs w:val="24"/>
          <w:lang w:eastAsia="pl-PL"/>
        </w:rPr>
        <w:t>(</w:t>
      </w:r>
      <w:r w:rsidR="008B2575">
        <w:rPr>
          <w:rFonts w:eastAsia="Times New Roman"/>
          <w:szCs w:val="24"/>
          <w:lang w:eastAsia="pl-PL"/>
        </w:rPr>
        <w:t>Dz.U.</w:t>
      </w:r>
      <w:r w:rsidR="00BE376D">
        <w:rPr>
          <w:rFonts w:eastAsia="Times New Roman"/>
          <w:szCs w:val="24"/>
          <w:lang w:eastAsia="pl-PL"/>
        </w:rPr>
        <w:t xml:space="preserve"> </w:t>
      </w:r>
      <w:r w:rsidR="008B2575">
        <w:rPr>
          <w:rFonts w:eastAsia="Times New Roman"/>
          <w:szCs w:val="24"/>
          <w:lang w:eastAsia="pl-PL"/>
        </w:rPr>
        <w:t>2019</w:t>
      </w:r>
      <w:r w:rsidR="002B1673" w:rsidRPr="002B1673">
        <w:rPr>
          <w:rFonts w:eastAsia="Times New Roman"/>
          <w:szCs w:val="24"/>
          <w:lang w:eastAsia="pl-PL"/>
        </w:rPr>
        <w:t xml:space="preserve"> poz. </w:t>
      </w:r>
      <w:r w:rsidR="008B2575">
        <w:rPr>
          <w:rFonts w:eastAsia="Times New Roman"/>
          <w:szCs w:val="24"/>
          <w:lang w:eastAsia="pl-PL"/>
        </w:rPr>
        <w:t>742</w:t>
      </w:r>
      <w:r w:rsidR="002B1673" w:rsidRPr="002B1673">
        <w:rPr>
          <w:rFonts w:eastAsia="Times New Roman"/>
          <w:szCs w:val="24"/>
          <w:lang w:eastAsia="pl-PL"/>
        </w:rPr>
        <w:t>)</w:t>
      </w:r>
      <w:r w:rsidR="00C56479">
        <w:rPr>
          <w:rFonts w:eastAsia="Times New Roman"/>
          <w:szCs w:val="24"/>
          <w:lang w:eastAsia="pl-PL"/>
        </w:rPr>
        <w:t>.</w:t>
      </w:r>
    </w:p>
    <w:p w:rsidR="00A7392D" w:rsidRDefault="00AD0FE9" w:rsidP="0061651F">
      <w:pPr>
        <w:pStyle w:val="Default"/>
        <w:spacing w:line="276" w:lineRule="auto"/>
        <w:ind w:firstLine="708"/>
        <w:jc w:val="both"/>
        <w:rPr>
          <w:rFonts w:eastAsia="Times New Roman"/>
          <w:lang w:eastAsia="pl-PL"/>
        </w:rPr>
      </w:pPr>
      <w:r>
        <w:rPr>
          <w:rFonts w:eastAsia="Times New Roman"/>
          <w:lang w:eastAsia="pl-PL"/>
        </w:rPr>
        <w:t>Poza realizacją zadań ujętych w planie kontro</w:t>
      </w:r>
      <w:r w:rsidR="00EC0291">
        <w:rPr>
          <w:rFonts w:eastAsia="Times New Roman"/>
          <w:lang w:eastAsia="pl-PL"/>
        </w:rPr>
        <w:t xml:space="preserve">li na rok </w:t>
      </w:r>
      <w:r w:rsidR="00E55C1A">
        <w:rPr>
          <w:rFonts w:eastAsia="Times New Roman"/>
          <w:lang w:eastAsia="pl-PL"/>
        </w:rPr>
        <w:t>2020</w:t>
      </w:r>
      <w:r w:rsidR="00DD40D5">
        <w:rPr>
          <w:rFonts w:eastAsia="Times New Roman"/>
          <w:lang w:eastAsia="pl-PL"/>
        </w:rPr>
        <w:t xml:space="preserve"> funkcjonariusze </w:t>
      </w:r>
      <w:r w:rsidR="00B8376E">
        <w:rPr>
          <w:rFonts w:eastAsia="Times New Roman"/>
          <w:lang w:eastAsia="pl-PL"/>
        </w:rPr>
        <w:br/>
        <w:t xml:space="preserve">i pracownicy </w:t>
      </w:r>
      <w:r w:rsidR="00DD40D5">
        <w:rPr>
          <w:rFonts w:eastAsia="Times New Roman"/>
          <w:lang w:eastAsia="pl-PL"/>
        </w:rPr>
        <w:t>Wydziału nie przeprowadzili</w:t>
      </w:r>
      <w:r>
        <w:rPr>
          <w:rFonts w:eastAsia="Times New Roman"/>
          <w:lang w:eastAsia="pl-PL"/>
        </w:rPr>
        <w:t xml:space="preserve"> kontroli pozaplanowych.</w:t>
      </w:r>
    </w:p>
    <w:p w:rsidR="005F13DE" w:rsidRDefault="00B9091A" w:rsidP="0061651F">
      <w:pPr>
        <w:spacing w:line="276" w:lineRule="auto"/>
        <w:jc w:val="both"/>
        <w:rPr>
          <w:szCs w:val="24"/>
        </w:rPr>
      </w:pPr>
      <w:r>
        <w:rPr>
          <w:szCs w:val="24"/>
        </w:rPr>
        <w:t xml:space="preserve"> </w:t>
      </w:r>
    </w:p>
    <w:p w:rsidR="00206F9C" w:rsidRPr="00206F9C" w:rsidRDefault="00AD0FE9" w:rsidP="00383F3C">
      <w:pPr>
        <w:pStyle w:val="Akapitzlist"/>
        <w:numPr>
          <w:ilvl w:val="0"/>
          <w:numId w:val="3"/>
        </w:numPr>
        <w:spacing w:line="276" w:lineRule="auto"/>
        <w:jc w:val="both"/>
        <w:rPr>
          <w:b/>
        </w:rPr>
      </w:pPr>
      <w:r w:rsidRPr="00206F9C">
        <w:rPr>
          <w:b/>
        </w:rPr>
        <w:t>Organizacja Wydziału Ochrony Informacji Niejawnych i Archiwum</w:t>
      </w:r>
      <w:r w:rsidR="00206F9C" w:rsidRPr="00206F9C">
        <w:rPr>
          <w:b/>
        </w:rPr>
        <w:t>.</w:t>
      </w:r>
    </w:p>
    <w:p w:rsidR="005F13DE" w:rsidRPr="00206F9C" w:rsidRDefault="00AD0FE9" w:rsidP="00206F9C">
      <w:pPr>
        <w:pStyle w:val="Akapitzlist"/>
        <w:spacing w:line="276" w:lineRule="auto"/>
        <w:ind w:left="1080"/>
        <w:jc w:val="both"/>
        <w:rPr>
          <w:b/>
        </w:rPr>
      </w:pPr>
      <w:r w:rsidRPr="00206F9C">
        <w:rPr>
          <w:b/>
        </w:rPr>
        <w:t xml:space="preserve"> </w:t>
      </w:r>
    </w:p>
    <w:p w:rsidR="00E0467B" w:rsidRPr="00280F43" w:rsidRDefault="00C071CE" w:rsidP="0061651F">
      <w:pPr>
        <w:spacing w:line="276" w:lineRule="auto"/>
        <w:jc w:val="both"/>
      </w:pPr>
      <w:r>
        <w:tab/>
      </w:r>
      <w:r w:rsidR="00B9091A" w:rsidRPr="00280F43">
        <w:t xml:space="preserve">W Wydziale </w:t>
      </w:r>
      <w:r w:rsidR="00D7750E" w:rsidRPr="00280F43">
        <w:t xml:space="preserve">Ochrony Informacji </w:t>
      </w:r>
      <w:r w:rsidRPr="00280F43">
        <w:t>N</w:t>
      </w:r>
      <w:r w:rsidR="00D7750E" w:rsidRPr="00280F43">
        <w:t>iejawnych i Archiwum KWP w Krakowie</w:t>
      </w:r>
      <w:r w:rsidR="00B16662">
        <w:t xml:space="preserve"> zatrudnion</w:t>
      </w:r>
      <w:r w:rsidR="004861A5">
        <w:t>e</w:t>
      </w:r>
      <w:r w:rsidR="00B16662">
        <w:t xml:space="preserve"> </w:t>
      </w:r>
      <w:r w:rsidR="00B8376E">
        <w:t>są</w:t>
      </w:r>
      <w:r w:rsidR="00B9091A" w:rsidRPr="00280F43">
        <w:t xml:space="preserve"> </w:t>
      </w:r>
      <w:r w:rsidR="00B8376E">
        <w:t>23</w:t>
      </w:r>
      <w:r w:rsidR="00B16662">
        <w:t xml:space="preserve"> </w:t>
      </w:r>
      <w:r w:rsidR="00B8376E">
        <w:t>osoby</w:t>
      </w:r>
      <w:r w:rsidR="00EC0291">
        <w:t xml:space="preserve"> (stan na dzień 31 grudnia </w:t>
      </w:r>
      <w:r w:rsidR="00B8376E">
        <w:t>2020</w:t>
      </w:r>
      <w:r w:rsidR="00B9091A" w:rsidRPr="00280F43">
        <w:t xml:space="preserve"> roku)</w:t>
      </w:r>
      <w:r w:rsidR="00D7750E" w:rsidRPr="00280F43">
        <w:t xml:space="preserve"> – </w:t>
      </w:r>
      <w:r w:rsidR="00B8376E">
        <w:t>8</w:t>
      </w:r>
      <w:r w:rsidR="00D7750E" w:rsidRPr="00280F43">
        <w:t xml:space="preserve"> funkcjonariuszy</w:t>
      </w:r>
      <w:r w:rsidR="001263EB">
        <w:t xml:space="preserve"> </w:t>
      </w:r>
      <w:r w:rsidR="00D7750E" w:rsidRPr="00280F43">
        <w:t>i</w:t>
      </w:r>
      <w:r w:rsidR="001263EB">
        <w:t xml:space="preserve"> </w:t>
      </w:r>
      <w:r w:rsidR="00B8376E">
        <w:t>15</w:t>
      </w:r>
      <w:r w:rsidR="00D7750E" w:rsidRPr="00280F43">
        <w:t xml:space="preserve"> pracowników </w:t>
      </w:r>
      <w:r w:rsidR="00F806E7">
        <w:t>Policji</w:t>
      </w:r>
      <w:r w:rsidR="00D7750E" w:rsidRPr="00280F43">
        <w:t xml:space="preserve">. </w:t>
      </w:r>
      <w:r w:rsidR="00F26614" w:rsidRPr="00280F43">
        <w:t>Czynności kontrolne realizuje</w:t>
      </w:r>
      <w:r w:rsidR="00B9091A" w:rsidRPr="00280F43">
        <w:t xml:space="preserve"> łącznie </w:t>
      </w:r>
      <w:r w:rsidR="008B2575">
        <w:t>7</w:t>
      </w:r>
      <w:r w:rsidR="00F26614" w:rsidRPr="00280F43">
        <w:t xml:space="preserve"> osób</w:t>
      </w:r>
      <w:r w:rsidR="00B8376E">
        <w:t xml:space="preserve"> (</w:t>
      </w:r>
      <w:r w:rsidR="003D18CD">
        <w:t>4 funkcjonariuszy i 3 pracowników cywilnych)</w:t>
      </w:r>
      <w:r w:rsidR="00F26614" w:rsidRPr="00280F43">
        <w:t>.</w:t>
      </w:r>
    </w:p>
    <w:p w:rsidR="00D90A0F" w:rsidRDefault="00EC0291" w:rsidP="00206F9C">
      <w:pPr>
        <w:spacing w:line="276" w:lineRule="auto"/>
        <w:jc w:val="both"/>
      </w:pPr>
      <w:r>
        <w:tab/>
      </w:r>
    </w:p>
    <w:p w:rsidR="00D828BD" w:rsidRPr="00280F43" w:rsidRDefault="00D828BD" w:rsidP="002F1BAC">
      <w:pPr>
        <w:spacing w:line="276" w:lineRule="auto"/>
        <w:jc w:val="both"/>
      </w:pPr>
    </w:p>
    <w:p w:rsidR="00D90A0F" w:rsidRPr="00280F43" w:rsidRDefault="00D90A0F" w:rsidP="0061651F">
      <w:pPr>
        <w:spacing w:line="276" w:lineRule="auto"/>
        <w:jc w:val="both"/>
      </w:pPr>
    </w:p>
    <w:p w:rsidR="00E0467B" w:rsidRPr="001263EB" w:rsidRDefault="001263EB" w:rsidP="001263EB">
      <w:pPr>
        <w:pStyle w:val="Akapitzlist"/>
        <w:numPr>
          <w:ilvl w:val="0"/>
          <w:numId w:val="3"/>
        </w:numPr>
        <w:spacing w:line="276" w:lineRule="auto"/>
        <w:jc w:val="both"/>
        <w:rPr>
          <w:b/>
        </w:rPr>
      </w:pPr>
      <w:r>
        <w:rPr>
          <w:b/>
        </w:rPr>
        <w:t xml:space="preserve">Liczba kontroli przeprowadzonych w 2020 roku przez WOINiA KWP </w:t>
      </w:r>
      <w:r>
        <w:rPr>
          <w:b/>
        </w:rPr>
        <w:br/>
        <w:t>w Krakowie</w:t>
      </w:r>
      <w:r w:rsidR="00F81131" w:rsidRPr="001263EB">
        <w:rPr>
          <w:b/>
        </w:rPr>
        <w:t>.</w:t>
      </w:r>
    </w:p>
    <w:p w:rsidR="009B4DD1" w:rsidRDefault="009B4DD1" w:rsidP="0061651F">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575"/>
        <w:gridCol w:w="4075"/>
        <w:gridCol w:w="956"/>
        <w:gridCol w:w="953"/>
        <w:gridCol w:w="941"/>
        <w:gridCol w:w="925"/>
        <w:gridCol w:w="787"/>
      </w:tblGrid>
      <w:tr w:rsidR="000F0032" w:rsidRPr="000F0032" w:rsidTr="00A02319">
        <w:trPr>
          <w:cantSplit/>
          <w:trHeight w:val="63"/>
        </w:trPr>
        <w:tc>
          <w:tcPr>
            <w:tcW w:w="2524" w:type="pct"/>
            <w:gridSpan w:val="2"/>
            <w:vMerge w:val="restart"/>
            <w:tcBorders>
              <w:tl2br w:val="single" w:sz="4" w:space="0" w:color="auto"/>
            </w:tcBorders>
            <w:shd w:val="clear" w:color="auto" w:fill="D9D9D9" w:themeFill="background1" w:themeFillShade="D9"/>
            <w:vAlign w:val="center"/>
          </w:tcPr>
          <w:p w:rsidR="000F0032" w:rsidRDefault="00F81131" w:rsidP="00F127EE">
            <w:pPr>
              <w:keepNext/>
              <w:widowControl/>
              <w:suppressAutoHyphens w:val="0"/>
              <w:spacing w:before="120" w:after="60" w:line="276" w:lineRule="auto"/>
              <w:jc w:val="center"/>
              <w:outlineLvl w:val="1"/>
              <w:rPr>
                <w:rFonts w:eastAsia="Times New Roman" w:cs="Arial"/>
                <w:b/>
                <w:bCs/>
                <w:iCs/>
                <w:sz w:val="20"/>
                <w:lang w:eastAsia="pl-PL"/>
              </w:rPr>
            </w:pPr>
            <w:r>
              <w:tab/>
            </w:r>
            <w:r w:rsidR="00F127EE">
              <w:rPr>
                <w:rFonts w:eastAsia="Times New Roman" w:cs="Arial"/>
                <w:b/>
                <w:bCs/>
                <w:iCs/>
                <w:sz w:val="20"/>
                <w:lang w:eastAsia="pl-PL"/>
              </w:rPr>
              <w:t xml:space="preserve">                                            Kontrole</w:t>
            </w:r>
          </w:p>
          <w:p w:rsidR="00F127EE" w:rsidRPr="000F0032" w:rsidRDefault="00F127EE" w:rsidP="00F127EE">
            <w:pPr>
              <w:keepNext/>
              <w:widowControl/>
              <w:suppressAutoHyphens w:val="0"/>
              <w:spacing w:before="120" w:after="60" w:line="276" w:lineRule="auto"/>
              <w:outlineLvl w:val="1"/>
              <w:rPr>
                <w:rFonts w:eastAsia="Times New Roman" w:cs="Arial"/>
                <w:b/>
                <w:bCs/>
                <w:iCs/>
                <w:sz w:val="20"/>
                <w:lang w:eastAsia="pl-PL"/>
              </w:rPr>
            </w:pPr>
            <w:r>
              <w:rPr>
                <w:rFonts w:eastAsia="Times New Roman" w:cs="Arial"/>
                <w:b/>
                <w:bCs/>
                <w:iCs/>
                <w:sz w:val="20"/>
                <w:lang w:eastAsia="pl-PL"/>
              </w:rPr>
              <w:t xml:space="preserve">                Liczba</w:t>
            </w:r>
          </w:p>
        </w:tc>
        <w:tc>
          <w:tcPr>
            <w:tcW w:w="2049" w:type="pct"/>
            <w:gridSpan w:val="4"/>
            <w:shd w:val="clear" w:color="auto" w:fill="D9D9D9" w:themeFill="background1" w:themeFillShade="D9"/>
            <w:vAlign w:val="center"/>
          </w:tcPr>
          <w:p w:rsidR="000F0032" w:rsidRPr="000F0032" w:rsidRDefault="00013092" w:rsidP="0061651F">
            <w:pPr>
              <w:widowControl/>
              <w:suppressAutoHyphens w:val="0"/>
              <w:spacing w:before="60" w:after="60" w:line="276" w:lineRule="auto"/>
              <w:ind w:left="-57" w:right="-57"/>
              <w:jc w:val="center"/>
              <w:rPr>
                <w:rFonts w:eastAsia="Times New Roman"/>
                <w:b/>
                <w:sz w:val="22"/>
                <w:szCs w:val="22"/>
                <w:lang w:eastAsia="pl-PL"/>
              </w:rPr>
            </w:pPr>
            <w:r>
              <w:rPr>
                <w:rFonts w:eastAsia="Times New Roman"/>
                <w:b/>
                <w:sz w:val="22"/>
                <w:szCs w:val="22"/>
                <w:lang w:eastAsia="pl-PL"/>
              </w:rPr>
              <w:t>Kontrole</w:t>
            </w:r>
            <w:r w:rsidR="000F0032" w:rsidRPr="000F0032">
              <w:rPr>
                <w:rFonts w:eastAsia="Times New Roman"/>
                <w:b/>
                <w:sz w:val="22"/>
                <w:szCs w:val="22"/>
                <w:lang w:eastAsia="pl-PL"/>
              </w:rPr>
              <w:t xml:space="preserve"> </w:t>
            </w:r>
          </w:p>
        </w:tc>
        <w:tc>
          <w:tcPr>
            <w:tcW w:w="428" w:type="pct"/>
            <w:vMerge w:val="restart"/>
            <w:shd w:val="clear" w:color="auto" w:fill="D9D9D9" w:themeFill="background1" w:themeFillShade="D9"/>
            <w:textDirection w:val="btLr"/>
            <w:vAlign w:val="center"/>
          </w:tcPr>
          <w:p w:rsidR="000F0032" w:rsidRPr="000F0032" w:rsidRDefault="000F0032" w:rsidP="0061651F">
            <w:pPr>
              <w:widowControl/>
              <w:suppressAutoHyphens w:val="0"/>
              <w:spacing w:line="276" w:lineRule="auto"/>
              <w:ind w:right="113"/>
              <w:jc w:val="center"/>
              <w:rPr>
                <w:rFonts w:eastAsia="Times New Roman"/>
                <w:b/>
                <w:sz w:val="20"/>
                <w:lang w:eastAsia="pl-PL"/>
              </w:rPr>
            </w:pPr>
            <w:r w:rsidRPr="000F0032">
              <w:rPr>
                <w:rFonts w:eastAsia="Times New Roman"/>
                <w:b/>
                <w:sz w:val="20"/>
                <w:lang w:eastAsia="pl-PL"/>
              </w:rPr>
              <w:t>Ogółem</w:t>
            </w:r>
          </w:p>
        </w:tc>
      </w:tr>
      <w:tr w:rsidR="00A02319" w:rsidRPr="000F0032" w:rsidTr="00A02319">
        <w:trPr>
          <w:cantSplit/>
          <w:trHeight w:val="874"/>
        </w:trPr>
        <w:tc>
          <w:tcPr>
            <w:tcW w:w="2524" w:type="pct"/>
            <w:gridSpan w:val="2"/>
            <w:vMerge/>
            <w:tcBorders>
              <w:bottom w:val="single" w:sz="4" w:space="0" w:color="auto"/>
              <w:tl2br w:val="single" w:sz="4" w:space="0" w:color="auto"/>
            </w:tcBorders>
            <w:shd w:val="clear" w:color="auto" w:fill="D9D9D9" w:themeFill="background1" w:themeFillShade="D9"/>
            <w:vAlign w:val="center"/>
          </w:tcPr>
          <w:p w:rsidR="00E21CC6" w:rsidRPr="000F0032" w:rsidRDefault="00E21CC6" w:rsidP="0061651F">
            <w:pPr>
              <w:widowControl/>
              <w:suppressAutoHyphens w:val="0"/>
              <w:spacing w:line="276" w:lineRule="auto"/>
              <w:rPr>
                <w:rFonts w:eastAsia="Times New Roman"/>
                <w:b/>
                <w:bCs/>
                <w:sz w:val="18"/>
                <w:szCs w:val="28"/>
                <w:lang w:eastAsia="pl-PL"/>
              </w:rPr>
            </w:pPr>
          </w:p>
        </w:tc>
        <w:tc>
          <w:tcPr>
            <w:tcW w:w="519" w:type="pct"/>
            <w:shd w:val="clear" w:color="auto" w:fill="D9D9D9" w:themeFill="background1" w:themeFillShade="D9"/>
            <w:vAlign w:val="center"/>
          </w:tcPr>
          <w:p w:rsidR="00E21CC6" w:rsidRPr="000F0032" w:rsidRDefault="00013092" w:rsidP="0061651F">
            <w:pPr>
              <w:spacing w:line="276" w:lineRule="auto"/>
              <w:ind w:left="-57" w:right="-57"/>
              <w:jc w:val="center"/>
              <w:rPr>
                <w:rFonts w:eastAsia="Times New Roman"/>
                <w:b/>
                <w:sz w:val="16"/>
                <w:szCs w:val="16"/>
                <w:lang w:eastAsia="pl-PL"/>
              </w:rPr>
            </w:pPr>
            <w:r>
              <w:rPr>
                <w:rFonts w:eastAsia="Times New Roman"/>
                <w:b/>
                <w:sz w:val="16"/>
                <w:szCs w:val="16"/>
                <w:lang w:eastAsia="pl-PL"/>
              </w:rPr>
              <w:t>Tryb zwykły</w:t>
            </w:r>
          </w:p>
        </w:tc>
        <w:tc>
          <w:tcPr>
            <w:tcW w:w="517" w:type="pct"/>
            <w:shd w:val="clear" w:color="auto" w:fill="D9D9D9" w:themeFill="background1" w:themeFillShade="D9"/>
            <w:vAlign w:val="center"/>
          </w:tcPr>
          <w:p w:rsidR="00E21CC6" w:rsidRPr="000F0032" w:rsidRDefault="00013092" w:rsidP="0061651F">
            <w:pPr>
              <w:spacing w:line="276" w:lineRule="auto"/>
              <w:ind w:left="-57" w:right="-57"/>
              <w:jc w:val="center"/>
              <w:rPr>
                <w:rFonts w:eastAsia="Times New Roman"/>
                <w:b/>
                <w:sz w:val="16"/>
                <w:szCs w:val="16"/>
                <w:lang w:eastAsia="pl-PL"/>
              </w:rPr>
            </w:pPr>
            <w:r>
              <w:rPr>
                <w:rFonts w:eastAsia="Times New Roman"/>
                <w:b/>
                <w:sz w:val="16"/>
                <w:szCs w:val="16"/>
                <w:lang w:eastAsia="pl-PL"/>
              </w:rPr>
              <w:t>Tryb uproszczony</w:t>
            </w:r>
          </w:p>
        </w:tc>
        <w:tc>
          <w:tcPr>
            <w:tcW w:w="511" w:type="pct"/>
            <w:shd w:val="clear" w:color="auto" w:fill="D9D9D9" w:themeFill="background1" w:themeFillShade="D9"/>
            <w:vAlign w:val="center"/>
          </w:tcPr>
          <w:p w:rsidR="00E21CC6" w:rsidRPr="000F0032" w:rsidRDefault="00013092" w:rsidP="0061651F">
            <w:pPr>
              <w:spacing w:line="276" w:lineRule="auto"/>
              <w:ind w:left="-57" w:right="-57"/>
              <w:jc w:val="center"/>
              <w:rPr>
                <w:rFonts w:eastAsia="Times New Roman"/>
                <w:b/>
                <w:sz w:val="16"/>
                <w:szCs w:val="16"/>
                <w:lang w:eastAsia="pl-PL"/>
              </w:rPr>
            </w:pPr>
            <w:r>
              <w:rPr>
                <w:rFonts w:eastAsia="Times New Roman"/>
                <w:b/>
                <w:sz w:val="16"/>
                <w:szCs w:val="16"/>
                <w:lang w:eastAsia="pl-PL"/>
              </w:rPr>
              <w:t>Planowe</w:t>
            </w:r>
          </w:p>
        </w:tc>
        <w:tc>
          <w:tcPr>
            <w:tcW w:w="502" w:type="pct"/>
            <w:shd w:val="clear" w:color="auto" w:fill="D9D9D9" w:themeFill="background1" w:themeFillShade="D9"/>
            <w:vAlign w:val="center"/>
          </w:tcPr>
          <w:p w:rsidR="00E21CC6" w:rsidRPr="000F0032" w:rsidRDefault="00013092" w:rsidP="0061651F">
            <w:pPr>
              <w:spacing w:line="276" w:lineRule="auto"/>
              <w:ind w:left="-57" w:right="-57"/>
              <w:jc w:val="center"/>
              <w:rPr>
                <w:rFonts w:eastAsia="Times New Roman"/>
                <w:b/>
                <w:sz w:val="16"/>
                <w:szCs w:val="16"/>
                <w:lang w:eastAsia="pl-PL"/>
              </w:rPr>
            </w:pPr>
            <w:r>
              <w:rPr>
                <w:rFonts w:eastAsia="Times New Roman"/>
                <w:b/>
                <w:sz w:val="16"/>
                <w:szCs w:val="16"/>
                <w:lang w:eastAsia="pl-PL"/>
              </w:rPr>
              <w:t>Poza planem</w:t>
            </w:r>
          </w:p>
        </w:tc>
        <w:tc>
          <w:tcPr>
            <w:tcW w:w="428" w:type="pct"/>
            <w:vMerge/>
            <w:shd w:val="clear" w:color="auto" w:fill="D9D9D9" w:themeFill="background1" w:themeFillShade="D9"/>
            <w:vAlign w:val="center"/>
          </w:tcPr>
          <w:p w:rsidR="00E21CC6" w:rsidRPr="000F0032" w:rsidRDefault="00E21CC6" w:rsidP="0061651F">
            <w:pPr>
              <w:widowControl/>
              <w:suppressAutoHyphens w:val="0"/>
              <w:spacing w:line="276" w:lineRule="auto"/>
              <w:rPr>
                <w:rFonts w:eastAsia="Times New Roman"/>
                <w:b/>
                <w:sz w:val="20"/>
                <w:lang w:eastAsia="pl-PL"/>
              </w:rPr>
            </w:pPr>
          </w:p>
        </w:tc>
      </w:tr>
      <w:tr w:rsidR="00E21CC6" w:rsidRPr="000F0032" w:rsidTr="00A02319">
        <w:trPr>
          <w:trHeight w:val="50"/>
        </w:trPr>
        <w:tc>
          <w:tcPr>
            <w:tcW w:w="2524" w:type="pct"/>
            <w:gridSpan w:val="2"/>
            <w:shd w:val="clear" w:color="auto" w:fill="D9D9D9" w:themeFill="background1" w:themeFillShade="D9"/>
            <w:vAlign w:val="center"/>
          </w:tcPr>
          <w:p w:rsidR="00E21CC6" w:rsidRPr="000F0032" w:rsidRDefault="00E21CC6" w:rsidP="0061651F">
            <w:pPr>
              <w:widowControl/>
              <w:suppressAutoHyphens w:val="0"/>
              <w:spacing w:before="40" w:after="40" w:line="276" w:lineRule="auto"/>
              <w:jc w:val="center"/>
              <w:rPr>
                <w:rFonts w:eastAsia="Times New Roman"/>
                <w:sz w:val="18"/>
                <w:szCs w:val="24"/>
                <w:lang w:eastAsia="pl-PL"/>
              </w:rPr>
            </w:pPr>
            <w:r w:rsidRPr="000F0032">
              <w:rPr>
                <w:rFonts w:eastAsia="Times New Roman"/>
                <w:sz w:val="18"/>
                <w:szCs w:val="24"/>
                <w:lang w:eastAsia="pl-PL"/>
              </w:rPr>
              <w:t>przeprowadzonych kontroli</w:t>
            </w:r>
          </w:p>
        </w:tc>
        <w:tc>
          <w:tcPr>
            <w:tcW w:w="519" w:type="pct"/>
            <w:shd w:val="clear" w:color="auto" w:fill="FFFFFF" w:themeFill="background1"/>
            <w:vAlign w:val="center"/>
          </w:tcPr>
          <w:p w:rsidR="00E21CC6" w:rsidRPr="003231AA" w:rsidRDefault="003D18CD" w:rsidP="003231AA">
            <w:pPr>
              <w:widowControl/>
              <w:suppressAutoHyphens w:val="0"/>
              <w:spacing w:line="276" w:lineRule="auto"/>
              <w:jc w:val="center"/>
              <w:rPr>
                <w:rFonts w:eastAsia="Times New Roman"/>
                <w:sz w:val="20"/>
                <w:lang w:eastAsia="pl-PL"/>
              </w:rPr>
            </w:pPr>
            <w:r>
              <w:rPr>
                <w:rFonts w:eastAsia="Times New Roman"/>
                <w:sz w:val="20"/>
                <w:lang w:eastAsia="pl-PL"/>
              </w:rPr>
              <w:t>10</w:t>
            </w:r>
          </w:p>
        </w:tc>
        <w:tc>
          <w:tcPr>
            <w:tcW w:w="517" w:type="pct"/>
            <w:shd w:val="clear" w:color="auto" w:fill="FFFFFF" w:themeFill="background1"/>
            <w:vAlign w:val="center"/>
          </w:tcPr>
          <w:p w:rsidR="00E21CC6"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E21CC6" w:rsidRPr="003231AA" w:rsidRDefault="003D18CD" w:rsidP="003231AA">
            <w:pPr>
              <w:widowControl/>
              <w:suppressAutoHyphens w:val="0"/>
              <w:spacing w:line="276" w:lineRule="auto"/>
              <w:jc w:val="center"/>
              <w:rPr>
                <w:rFonts w:eastAsia="Times New Roman"/>
                <w:sz w:val="20"/>
                <w:lang w:eastAsia="pl-PL"/>
              </w:rPr>
            </w:pPr>
            <w:r>
              <w:rPr>
                <w:rFonts w:eastAsia="Times New Roman"/>
                <w:sz w:val="20"/>
                <w:lang w:eastAsia="pl-PL"/>
              </w:rPr>
              <w:t>10</w:t>
            </w:r>
          </w:p>
        </w:tc>
        <w:tc>
          <w:tcPr>
            <w:tcW w:w="502" w:type="pct"/>
            <w:shd w:val="clear" w:color="auto" w:fill="FFFFFF" w:themeFill="background1"/>
            <w:vAlign w:val="center"/>
          </w:tcPr>
          <w:p w:rsidR="00E21CC6" w:rsidRPr="000F0032"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428" w:type="pct"/>
            <w:shd w:val="clear" w:color="auto" w:fill="FFFFFF" w:themeFill="background1"/>
            <w:vAlign w:val="center"/>
          </w:tcPr>
          <w:p w:rsidR="00E21CC6" w:rsidRPr="000F0032" w:rsidRDefault="003D18CD" w:rsidP="0061651F">
            <w:pPr>
              <w:widowControl/>
              <w:suppressAutoHyphens w:val="0"/>
              <w:spacing w:line="276" w:lineRule="auto"/>
              <w:jc w:val="center"/>
              <w:rPr>
                <w:rFonts w:eastAsia="Times New Roman"/>
                <w:b/>
                <w:sz w:val="20"/>
                <w:lang w:eastAsia="pl-PL"/>
              </w:rPr>
            </w:pPr>
            <w:r>
              <w:rPr>
                <w:rFonts w:eastAsia="Times New Roman"/>
                <w:b/>
                <w:sz w:val="20"/>
                <w:lang w:eastAsia="pl-PL"/>
              </w:rPr>
              <w:t>10</w:t>
            </w:r>
          </w:p>
        </w:tc>
      </w:tr>
      <w:tr w:rsidR="00E21CC6" w:rsidRPr="000F0032" w:rsidTr="00A02319">
        <w:trPr>
          <w:trHeight w:val="183"/>
        </w:trPr>
        <w:tc>
          <w:tcPr>
            <w:tcW w:w="2524" w:type="pct"/>
            <w:gridSpan w:val="2"/>
            <w:shd w:val="clear" w:color="auto" w:fill="D9D9D9" w:themeFill="background1" w:themeFillShade="D9"/>
            <w:vAlign w:val="center"/>
          </w:tcPr>
          <w:p w:rsidR="00E21CC6" w:rsidRPr="000F0032" w:rsidRDefault="00E21CC6" w:rsidP="0061651F">
            <w:pPr>
              <w:widowControl/>
              <w:suppressAutoHyphens w:val="0"/>
              <w:spacing w:before="40" w:after="40" w:line="276" w:lineRule="auto"/>
              <w:jc w:val="center"/>
              <w:rPr>
                <w:rFonts w:eastAsia="Times New Roman"/>
                <w:sz w:val="18"/>
                <w:szCs w:val="24"/>
                <w:lang w:eastAsia="pl-PL"/>
              </w:rPr>
            </w:pPr>
            <w:r w:rsidRPr="000F0032">
              <w:rPr>
                <w:rFonts w:eastAsia="Times New Roman"/>
                <w:sz w:val="18"/>
                <w:szCs w:val="24"/>
                <w:lang w:eastAsia="pl-PL"/>
              </w:rPr>
              <w:t>skontrolowanych podmiotów</w:t>
            </w:r>
            <w:r w:rsidR="003C619D">
              <w:rPr>
                <w:rFonts w:eastAsia="Times New Roman"/>
                <w:sz w:val="18"/>
                <w:szCs w:val="24"/>
                <w:lang w:eastAsia="pl-PL"/>
              </w:rPr>
              <w:t>*</w:t>
            </w:r>
          </w:p>
        </w:tc>
        <w:tc>
          <w:tcPr>
            <w:tcW w:w="519" w:type="pct"/>
            <w:shd w:val="clear" w:color="auto" w:fill="FFFFFF" w:themeFill="background1"/>
            <w:vAlign w:val="center"/>
          </w:tcPr>
          <w:p w:rsidR="00E21CC6" w:rsidRPr="003231AA" w:rsidRDefault="003D18CD" w:rsidP="001F4DE1">
            <w:pPr>
              <w:widowControl/>
              <w:suppressAutoHyphens w:val="0"/>
              <w:spacing w:line="276" w:lineRule="auto"/>
              <w:jc w:val="center"/>
              <w:rPr>
                <w:rFonts w:eastAsia="Times New Roman"/>
                <w:sz w:val="20"/>
                <w:lang w:eastAsia="pl-PL"/>
              </w:rPr>
            </w:pPr>
            <w:r>
              <w:rPr>
                <w:rFonts w:eastAsia="Times New Roman"/>
                <w:sz w:val="20"/>
                <w:lang w:eastAsia="pl-PL"/>
              </w:rPr>
              <w:t>8</w:t>
            </w:r>
          </w:p>
        </w:tc>
        <w:tc>
          <w:tcPr>
            <w:tcW w:w="517" w:type="pct"/>
            <w:shd w:val="clear" w:color="auto" w:fill="FFFFFF" w:themeFill="background1"/>
            <w:vAlign w:val="center"/>
          </w:tcPr>
          <w:p w:rsidR="00E21CC6"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E21CC6" w:rsidRPr="003231AA" w:rsidRDefault="003D18CD" w:rsidP="001F4DE1">
            <w:pPr>
              <w:widowControl/>
              <w:suppressAutoHyphens w:val="0"/>
              <w:spacing w:line="276" w:lineRule="auto"/>
              <w:jc w:val="center"/>
              <w:rPr>
                <w:rFonts w:eastAsia="Times New Roman"/>
                <w:sz w:val="20"/>
                <w:lang w:eastAsia="pl-PL"/>
              </w:rPr>
            </w:pPr>
            <w:r>
              <w:rPr>
                <w:rFonts w:eastAsia="Times New Roman"/>
                <w:sz w:val="20"/>
                <w:lang w:eastAsia="pl-PL"/>
              </w:rPr>
              <w:t>8</w:t>
            </w:r>
          </w:p>
        </w:tc>
        <w:tc>
          <w:tcPr>
            <w:tcW w:w="502" w:type="pct"/>
            <w:shd w:val="clear" w:color="auto" w:fill="FFFFFF" w:themeFill="background1"/>
            <w:vAlign w:val="center"/>
          </w:tcPr>
          <w:p w:rsidR="00E21CC6" w:rsidRPr="000F0032"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428" w:type="pct"/>
            <w:shd w:val="clear" w:color="auto" w:fill="FFFFFF" w:themeFill="background1"/>
            <w:vAlign w:val="center"/>
          </w:tcPr>
          <w:p w:rsidR="00E21CC6" w:rsidRPr="000F0032" w:rsidRDefault="003D18CD" w:rsidP="001F4DE1">
            <w:pPr>
              <w:widowControl/>
              <w:suppressAutoHyphens w:val="0"/>
              <w:spacing w:line="276" w:lineRule="auto"/>
              <w:jc w:val="center"/>
              <w:rPr>
                <w:rFonts w:eastAsia="Times New Roman"/>
                <w:b/>
                <w:sz w:val="20"/>
                <w:lang w:eastAsia="pl-PL"/>
              </w:rPr>
            </w:pPr>
            <w:r>
              <w:rPr>
                <w:rFonts w:eastAsia="Times New Roman"/>
                <w:b/>
                <w:sz w:val="20"/>
                <w:lang w:eastAsia="pl-PL"/>
              </w:rPr>
              <w:t>8</w:t>
            </w:r>
          </w:p>
        </w:tc>
      </w:tr>
      <w:tr w:rsidR="00996399" w:rsidRPr="000F0032" w:rsidTr="00A02319">
        <w:trPr>
          <w:cantSplit/>
          <w:trHeight w:val="176"/>
        </w:trPr>
        <w:tc>
          <w:tcPr>
            <w:tcW w:w="312" w:type="pct"/>
            <w:vMerge w:val="restart"/>
            <w:shd w:val="clear" w:color="auto" w:fill="D9D9D9" w:themeFill="background1" w:themeFillShade="D9"/>
            <w:textDirection w:val="btLr"/>
            <w:vAlign w:val="center"/>
          </w:tcPr>
          <w:p w:rsidR="00996399" w:rsidRPr="000F0032" w:rsidRDefault="00996399" w:rsidP="0061651F">
            <w:pPr>
              <w:widowControl/>
              <w:suppressAutoHyphens w:val="0"/>
              <w:spacing w:before="40" w:after="40" w:line="276" w:lineRule="auto"/>
              <w:ind w:right="113"/>
              <w:jc w:val="center"/>
              <w:rPr>
                <w:rFonts w:eastAsia="Times New Roman"/>
                <w:sz w:val="18"/>
                <w:szCs w:val="24"/>
                <w:lang w:eastAsia="pl-PL"/>
              </w:rPr>
            </w:pPr>
            <w:r>
              <w:rPr>
                <w:rFonts w:eastAsia="Times New Roman"/>
                <w:sz w:val="18"/>
                <w:szCs w:val="24"/>
                <w:lang w:eastAsia="pl-PL"/>
              </w:rPr>
              <w:t>Skierowanych</w:t>
            </w:r>
            <w:r w:rsidR="003231AA">
              <w:rPr>
                <w:rFonts w:eastAsia="Times New Roman"/>
                <w:sz w:val="18"/>
                <w:szCs w:val="24"/>
                <w:lang w:eastAsia="pl-PL"/>
              </w:rPr>
              <w:t xml:space="preserve"> w</w:t>
            </w:r>
            <w:r w:rsidRPr="000F0032">
              <w:rPr>
                <w:rFonts w:eastAsia="Times New Roman"/>
                <w:sz w:val="18"/>
                <w:szCs w:val="24"/>
                <w:lang w:eastAsia="pl-PL"/>
              </w:rPr>
              <w:t xml:space="preserve"> wyniku kontroli:</w:t>
            </w:r>
          </w:p>
        </w:tc>
        <w:tc>
          <w:tcPr>
            <w:tcW w:w="2212" w:type="pct"/>
            <w:shd w:val="clear" w:color="auto" w:fill="D9D9D9" w:themeFill="background1" w:themeFillShade="D9"/>
            <w:vAlign w:val="center"/>
          </w:tcPr>
          <w:p w:rsidR="00996399" w:rsidRPr="000F0032" w:rsidRDefault="00996399" w:rsidP="00996399">
            <w:pPr>
              <w:widowControl/>
              <w:suppressAutoHyphens w:val="0"/>
              <w:spacing w:before="40" w:after="40" w:line="276" w:lineRule="auto"/>
              <w:jc w:val="center"/>
              <w:rPr>
                <w:rFonts w:eastAsia="Times New Roman"/>
                <w:sz w:val="18"/>
                <w:szCs w:val="24"/>
                <w:lang w:eastAsia="pl-PL"/>
              </w:rPr>
            </w:pPr>
            <w:r w:rsidRPr="000F0032">
              <w:rPr>
                <w:rFonts w:eastAsia="Times New Roman"/>
                <w:sz w:val="18"/>
                <w:szCs w:val="24"/>
                <w:lang w:eastAsia="pl-PL"/>
              </w:rPr>
              <w:t xml:space="preserve">wniosków </w:t>
            </w:r>
            <w:r>
              <w:rPr>
                <w:rFonts w:eastAsia="Times New Roman"/>
                <w:sz w:val="18"/>
                <w:szCs w:val="24"/>
                <w:lang w:eastAsia="pl-PL"/>
              </w:rPr>
              <w:t>do prokuratury w celu wszczęcia postępowania przygotowawczego</w:t>
            </w:r>
          </w:p>
        </w:tc>
        <w:tc>
          <w:tcPr>
            <w:tcW w:w="519" w:type="pct"/>
            <w:shd w:val="clear" w:color="auto" w:fill="FFFFFF" w:themeFill="background1"/>
            <w:vAlign w:val="center"/>
          </w:tcPr>
          <w:p w:rsidR="00996399" w:rsidRPr="003231AA" w:rsidRDefault="00CA7E83"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7" w:type="pct"/>
            <w:shd w:val="clear" w:color="auto" w:fill="FFFFFF" w:themeFill="background1"/>
            <w:vAlign w:val="center"/>
          </w:tcPr>
          <w:p w:rsidR="003231AA" w:rsidRDefault="003231AA" w:rsidP="003231AA">
            <w:pPr>
              <w:widowControl/>
              <w:suppressAutoHyphens w:val="0"/>
              <w:spacing w:line="276" w:lineRule="auto"/>
              <w:jc w:val="center"/>
              <w:rPr>
                <w:rFonts w:eastAsia="Times New Roman"/>
                <w:sz w:val="20"/>
                <w:lang w:eastAsia="pl-PL"/>
              </w:rPr>
            </w:pPr>
          </w:p>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p w:rsidR="00996399" w:rsidRPr="003231AA" w:rsidRDefault="00996399" w:rsidP="003231AA">
            <w:pPr>
              <w:widowControl/>
              <w:suppressAutoHyphens w:val="0"/>
              <w:spacing w:line="276" w:lineRule="auto"/>
              <w:jc w:val="center"/>
              <w:rPr>
                <w:rFonts w:eastAsia="Times New Roman"/>
                <w:sz w:val="20"/>
                <w:lang w:eastAsia="pl-PL"/>
              </w:rPr>
            </w:pPr>
          </w:p>
        </w:tc>
        <w:tc>
          <w:tcPr>
            <w:tcW w:w="511" w:type="pct"/>
            <w:shd w:val="clear" w:color="auto" w:fill="FFFFFF" w:themeFill="background1"/>
            <w:vAlign w:val="center"/>
          </w:tcPr>
          <w:p w:rsidR="00996399" w:rsidRPr="003231AA" w:rsidRDefault="00CA7E83"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02" w:type="pct"/>
            <w:shd w:val="clear" w:color="auto" w:fill="FFFFFF" w:themeFill="background1"/>
            <w:vAlign w:val="center"/>
          </w:tcPr>
          <w:p w:rsidR="00996399" w:rsidRPr="00773DD9" w:rsidRDefault="003231AA"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c>
          <w:tcPr>
            <w:tcW w:w="428" w:type="pct"/>
            <w:shd w:val="clear" w:color="auto" w:fill="FFFFFF" w:themeFill="background1"/>
            <w:vAlign w:val="center"/>
          </w:tcPr>
          <w:p w:rsidR="00996399" w:rsidRPr="00773DD9" w:rsidRDefault="00CA7E83"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r>
      <w:tr w:rsidR="00996399" w:rsidRPr="000F0032" w:rsidTr="00A02319">
        <w:trPr>
          <w:cantSplit/>
          <w:trHeight w:val="176"/>
        </w:trPr>
        <w:tc>
          <w:tcPr>
            <w:tcW w:w="312" w:type="pct"/>
            <w:vMerge/>
            <w:shd w:val="clear" w:color="auto" w:fill="D9D9D9" w:themeFill="background1" w:themeFillShade="D9"/>
            <w:textDirection w:val="btLr"/>
            <w:vAlign w:val="center"/>
          </w:tcPr>
          <w:p w:rsidR="00996399" w:rsidRPr="000F0032" w:rsidRDefault="00996399" w:rsidP="0061651F">
            <w:pPr>
              <w:widowControl/>
              <w:suppressAutoHyphens w:val="0"/>
              <w:spacing w:before="40" w:after="40" w:line="276" w:lineRule="auto"/>
              <w:ind w:right="113"/>
              <w:jc w:val="center"/>
              <w:rPr>
                <w:rFonts w:eastAsia="Times New Roman"/>
                <w:sz w:val="18"/>
                <w:szCs w:val="24"/>
                <w:lang w:eastAsia="pl-PL"/>
              </w:rPr>
            </w:pPr>
          </w:p>
        </w:tc>
        <w:tc>
          <w:tcPr>
            <w:tcW w:w="2212" w:type="pct"/>
            <w:shd w:val="clear" w:color="auto" w:fill="D9D9D9" w:themeFill="background1" w:themeFillShade="D9"/>
            <w:vAlign w:val="center"/>
          </w:tcPr>
          <w:p w:rsidR="00996399" w:rsidRPr="000F0032" w:rsidRDefault="00996399" w:rsidP="0061651F">
            <w:pPr>
              <w:widowControl/>
              <w:suppressAutoHyphens w:val="0"/>
              <w:spacing w:before="40" w:after="40" w:line="276" w:lineRule="auto"/>
              <w:jc w:val="center"/>
              <w:rPr>
                <w:rFonts w:eastAsia="Times New Roman"/>
                <w:sz w:val="18"/>
                <w:szCs w:val="24"/>
                <w:lang w:eastAsia="pl-PL"/>
              </w:rPr>
            </w:pPr>
            <w:r w:rsidRPr="000F0032">
              <w:rPr>
                <w:rFonts w:eastAsia="Times New Roman"/>
                <w:sz w:val="18"/>
                <w:szCs w:val="24"/>
                <w:lang w:eastAsia="pl-PL"/>
              </w:rPr>
              <w:t>wniosków o wszczęcie postępowań dyscyplinarnych</w:t>
            </w:r>
          </w:p>
        </w:tc>
        <w:tc>
          <w:tcPr>
            <w:tcW w:w="519"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7"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02" w:type="pct"/>
            <w:shd w:val="clear" w:color="auto" w:fill="FFFFFF" w:themeFill="background1"/>
            <w:vAlign w:val="center"/>
          </w:tcPr>
          <w:p w:rsidR="00996399" w:rsidRPr="00773DD9" w:rsidRDefault="003231AA"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c>
          <w:tcPr>
            <w:tcW w:w="428" w:type="pct"/>
            <w:shd w:val="clear" w:color="auto" w:fill="FFFFFF" w:themeFill="background1"/>
            <w:vAlign w:val="center"/>
          </w:tcPr>
          <w:p w:rsidR="00996399" w:rsidRDefault="00F16A8C" w:rsidP="0061651F">
            <w:pPr>
              <w:widowControl/>
              <w:suppressAutoHyphens w:val="0"/>
              <w:spacing w:line="276" w:lineRule="auto"/>
              <w:jc w:val="center"/>
              <w:rPr>
                <w:rFonts w:eastAsia="Times New Roman"/>
                <w:b/>
                <w:sz w:val="20"/>
                <w:lang w:eastAsia="pl-PL"/>
              </w:rPr>
            </w:pPr>
            <w:r>
              <w:rPr>
                <w:rFonts w:eastAsia="Times New Roman"/>
                <w:b/>
                <w:sz w:val="20"/>
                <w:lang w:eastAsia="pl-PL"/>
              </w:rPr>
              <w:t>-</w:t>
            </w:r>
          </w:p>
        </w:tc>
      </w:tr>
      <w:tr w:rsidR="00996399" w:rsidRPr="000F0032" w:rsidTr="00A02319">
        <w:trPr>
          <w:cantSplit/>
          <w:trHeight w:val="318"/>
        </w:trPr>
        <w:tc>
          <w:tcPr>
            <w:tcW w:w="312" w:type="pct"/>
            <w:vMerge/>
            <w:shd w:val="clear" w:color="auto" w:fill="D9D9D9" w:themeFill="background1" w:themeFillShade="D9"/>
            <w:vAlign w:val="center"/>
          </w:tcPr>
          <w:p w:rsidR="00996399" w:rsidRPr="000F0032" w:rsidRDefault="00996399" w:rsidP="0061651F">
            <w:pPr>
              <w:widowControl/>
              <w:suppressAutoHyphens w:val="0"/>
              <w:spacing w:before="40" w:after="40" w:line="276" w:lineRule="auto"/>
              <w:rPr>
                <w:rFonts w:eastAsia="Times New Roman"/>
                <w:sz w:val="18"/>
                <w:szCs w:val="24"/>
                <w:lang w:eastAsia="pl-PL"/>
              </w:rPr>
            </w:pPr>
          </w:p>
        </w:tc>
        <w:tc>
          <w:tcPr>
            <w:tcW w:w="2212" w:type="pct"/>
            <w:shd w:val="clear" w:color="auto" w:fill="D9D9D9" w:themeFill="background1" w:themeFillShade="D9"/>
            <w:vAlign w:val="center"/>
          </w:tcPr>
          <w:p w:rsidR="00996399" w:rsidRPr="000F0032" w:rsidRDefault="00996399" w:rsidP="0061651F">
            <w:pPr>
              <w:widowControl/>
              <w:suppressAutoHyphens w:val="0"/>
              <w:spacing w:before="40" w:after="40" w:line="276" w:lineRule="auto"/>
              <w:jc w:val="center"/>
              <w:rPr>
                <w:rFonts w:eastAsia="Times New Roman"/>
                <w:sz w:val="18"/>
                <w:szCs w:val="24"/>
                <w:lang w:eastAsia="pl-PL"/>
              </w:rPr>
            </w:pPr>
            <w:r>
              <w:rPr>
                <w:rFonts w:eastAsia="Times New Roman"/>
                <w:sz w:val="18"/>
                <w:szCs w:val="24"/>
                <w:lang w:eastAsia="pl-PL"/>
              </w:rPr>
              <w:t>zawiadomień o naruszeniu dyscypliny finansów publicznych</w:t>
            </w:r>
          </w:p>
        </w:tc>
        <w:tc>
          <w:tcPr>
            <w:tcW w:w="519"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7"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02" w:type="pct"/>
            <w:shd w:val="clear" w:color="auto" w:fill="FFFFFF" w:themeFill="background1"/>
            <w:vAlign w:val="center"/>
          </w:tcPr>
          <w:p w:rsidR="00996399" w:rsidRPr="00773DD9" w:rsidRDefault="003231AA"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c>
          <w:tcPr>
            <w:tcW w:w="428" w:type="pct"/>
            <w:shd w:val="clear" w:color="auto" w:fill="FFFFFF" w:themeFill="background1"/>
            <w:vAlign w:val="center"/>
          </w:tcPr>
          <w:p w:rsidR="00996399" w:rsidRPr="00773DD9" w:rsidRDefault="00F16A8C" w:rsidP="0061651F">
            <w:pPr>
              <w:widowControl/>
              <w:suppressAutoHyphens w:val="0"/>
              <w:spacing w:line="276" w:lineRule="auto"/>
              <w:jc w:val="center"/>
              <w:rPr>
                <w:rFonts w:eastAsia="Times New Roman"/>
                <w:b/>
                <w:sz w:val="20"/>
                <w:lang w:eastAsia="pl-PL"/>
              </w:rPr>
            </w:pPr>
            <w:r>
              <w:rPr>
                <w:rFonts w:eastAsia="Times New Roman"/>
                <w:b/>
                <w:sz w:val="20"/>
                <w:lang w:eastAsia="pl-PL"/>
              </w:rPr>
              <w:t>-</w:t>
            </w:r>
          </w:p>
        </w:tc>
      </w:tr>
      <w:tr w:rsidR="00996399" w:rsidRPr="000F0032" w:rsidTr="00A02319">
        <w:trPr>
          <w:cantSplit/>
          <w:trHeight w:val="318"/>
        </w:trPr>
        <w:tc>
          <w:tcPr>
            <w:tcW w:w="312" w:type="pct"/>
            <w:vMerge/>
            <w:shd w:val="clear" w:color="auto" w:fill="D9D9D9" w:themeFill="background1" w:themeFillShade="D9"/>
            <w:vAlign w:val="center"/>
          </w:tcPr>
          <w:p w:rsidR="00996399" w:rsidRPr="000F0032" w:rsidRDefault="00996399" w:rsidP="0061651F">
            <w:pPr>
              <w:widowControl/>
              <w:suppressAutoHyphens w:val="0"/>
              <w:spacing w:before="40" w:after="40" w:line="276" w:lineRule="auto"/>
              <w:rPr>
                <w:rFonts w:eastAsia="Times New Roman"/>
                <w:sz w:val="18"/>
                <w:szCs w:val="24"/>
                <w:lang w:eastAsia="pl-PL"/>
              </w:rPr>
            </w:pPr>
          </w:p>
        </w:tc>
        <w:tc>
          <w:tcPr>
            <w:tcW w:w="2212" w:type="pct"/>
            <w:shd w:val="clear" w:color="auto" w:fill="D9D9D9" w:themeFill="background1" w:themeFillShade="D9"/>
            <w:vAlign w:val="center"/>
          </w:tcPr>
          <w:p w:rsidR="00996399" w:rsidRPr="000F0032" w:rsidRDefault="00996399" w:rsidP="0061651F">
            <w:pPr>
              <w:widowControl/>
              <w:suppressAutoHyphens w:val="0"/>
              <w:spacing w:before="40" w:after="40" w:line="276" w:lineRule="auto"/>
              <w:jc w:val="center"/>
              <w:rPr>
                <w:rFonts w:eastAsia="Times New Roman"/>
                <w:sz w:val="18"/>
                <w:szCs w:val="24"/>
                <w:lang w:eastAsia="pl-PL"/>
              </w:rPr>
            </w:pPr>
            <w:r>
              <w:rPr>
                <w:rFonts w:eastAsia="Times New Roman"/>
                <w:sz w:val="18"/>
                <w:szCs w:val="24"/>
                <w:lang w:eastAsia="pl-PL"/>
              </w:rPr>
              <w:t>innych zawiadomień (</w:t>
            </w:r>
            <w:r w:rsidR="00C91F50">
              <w:rPr>
                <w:rFonts w:eastAsia="Times New Roman"/>
                <w:sz w:val="18"/>
                <w:szCs w:val="24"/>
                <w:lang w:eastAsia="pl-PL"/>
              </w:rPr>
              <w:t>np.</w:t>
            </w:r>
            <w:r>
              <w:rPr>
                <w:rFonts w:eastAsia="Times New Roman"/>
                <w:sz w:val="18"/>
                <w:szCs w:val="24"/>
                <w:lang w:eastAsia="pl-PL"/>
              </w:rPr>
              <w:t xml:space="preserve"> do CBA)</w:t>
            </w:r>
          </w:p>
        </w:tc>
        <w:tc>
          <w:tcPr>
            <w:tcW w:w="519"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7"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02" w:type="pct"/>
            <w:shd w:val="clear" w:color="auto" w:fill="FFFFFF" w:themeFill="background1"/>
            <w:vAlign w:val="center"/>
          </w:tcPr>
          <w:p w:rsidR="00996399" w:rsidRPr="00773DD9" w:rsidRDefault="003231AA"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c>
          <w:tcPr>
            <w:tcW w:w="428" w:type="pct"/>
            <w:shd w:val="clear" w:color="auto" w:fill="FFFFFF" w:themeFill="background1"/>
            <w:vAlign w:val="center"/>
          </w:tcPr>
          <w:p w:rsidR="00996399" w:rsidRDefault="00F16A8C" w:rsidP="0061651F">
            <w:pPr>
              <w:widowControl/>
              <w:suppressAutoHyphens w:val="0"/>
              <w:spacing w:line="276" w:lineRule="auto"/>
              <w:jc w:val="center"/>
              <w:rPr>
                <w:rFonts w:eastAsia="Times New Roman"/>
                <w:b/>
                <w:sz w:val="20"/>
                <w:lang w:eastAsia="pl-PL"/>
              </w:rPr>
            </w:pPr>
            <w:r>
              <w:rPr>
                <w:rFonts w:eastAsia="Times New Roman"/>
                <w:b/>
                <w:sz w:val="20"/>
                <w:lang w:eastAsia="pl-PL"/>
              </w:rPr>
              <w:t>-</w:t>
            </w:r>
          </w:p>
        </w:tc>
      </w:tr>
      <w:tr w:rsidR="00996399" w:rsidRPr="000F0032" w:rsidTr="00A02319">
        <w:trPr>
          <w:trHeight w:val="452"/>
        </w:trPr>
        <w:tc>
          <w:tcPr>
            <w:tcW w:w="2524" w:type="pct"/>
            <w:gridSpan w:val="2"/>
            <w:shd w:val="clear" w:color="auto" w:fill="D9D9D9" w:themeFill="background1" w:themeFillShade="D9"/>
            <w:vAlign w:val="center"/>
          </w:tcPr>
          <w:p w:rsidR="00996399" w:rsidRPr="000F0032" w:rsidRDefault="00996399" w:rsidP="0061651F">
            <w:pPr>
              <w:widowControl/>
              <w:suppressAutoHyphens w:val="0"/>
              <w:spacing w:before="40" w:after="40" w:line="276" w:lineRule="auto"/>
              <w:jc w:val="center"/>
              <w:rPr>
                <w:rFonts w:eastAsia="Times New Roman"/>
                <w:sz w:val="18"/>
                <w:szCs w:val="24"/>
                <w:lang w:eastAsia="pl-PL"/>
              </w:rPr>
            </w:pPr>
            <w:r w:rsidRPr="000F0032">
              <w:rPr>
                <w:rFonts w:eastAsia="Times New Roman"/>
                <w:sz w:val="18"/>
                <w:szCs w:val="24"/>
                <w:lang w:eastAsia="pl-PL"/>
              </w:rPr>
              <w:t>kontroli rozpoczętych a niezakończonych w okresie sprawozdawczym</w:t>
            </w:r>
          </w:p>
        </w:tc>
        <w:tc>
          <w:tcPr>
            <w:tcW w:w="519" w:type="pct"/>
            <w:shd w:val="clear" w:color="auto" w:fill="FFFFFF" w:themeFill="background1"/>
            <w:vAlign w:val="center"/>
          </w:tcPr>
          <w:p w:rsidR="00996399" w:rsidRPr="003231AA" w:rsidRDefault="00C3497B"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7" w:type="pct"/>
            <w:shd w:val="clear" w:color="auto" w:fill="FFFFFF" w:themeFill="background1"/>
            <w:vAlign w:val="center"/>
          </w:tcPr>
          <w:p w:rsidR="00996399" w:rsidRPr="003231AA"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996399" w:rsidRPr="003231AA" w:rsidRDefault="00C3497B"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02" w:type="pct"/>
            <w:shd w:val="clear" w:color="auto" w:fill="FFFFFF" w:themeFill="background1"/>
            <w:vAlign w:val="center"/>
          </w:tcPr>
          <w:p w:rsidR="00996399" w:rsidRPr="000F0032"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428" w:type="pct"/>
            <w:shd w:val="clear" w:color="auto" w:fill="FFFFFF" w:themeFill="background1"/>
            <w:vAlign w:val="center"/>
          </w:tcPr>
          <w:p w:rsidR="00996399" w:rsidRPr="000F0032" w:rsidRDefault="00C3497B" w:rsidP="0061651F">
            <w:pPr>
              <w:widowControl/>
              <w:suppressAutoHyphens w:val="0"/>
              <w:spacing w:line="276" w:lineRule="auto"/>
              <w:jc w:val="center"/>
              <w:rPr>
                <w:rFonts w:eastAsia="Times New Roman"/>
                <w:b/>
                <w:sz w:val="20"/>
                <w:lang w:eastAsia="pl-PL"/>
              </w:rPr>
            </w:pPr>
            <w:r>
              <w:rPr>
                <w:rFonts w:eastAsia="Times New Roman"/>
                <w:b/>
                <w:sz w:val="20"/>
                <w:lang w:eastAsia="pl-PL"/>
              </w:rPr>
              <w:t>-</w:t>
            </w:r>
          </w:p>
        </w:tc>
      </w:tr>
      <w:tr w:rsidR="00996399" w:rsidRPr="000F0032" w:rsidTr="00A02319">
        <w:trPr>
          <w:trHeight w:val="65"/>
        </w:trPr>
        <w:tc>
          <w:tcPr>
            <w:tcW w:w="2524" w:type="pct"/>
            <w:gridSpan w:val="2"/>
            <w:shd w:val="clear" w:color="auto" w:fill="D9D9D9" w:themeFill="background1" w:themeFillShade="D9"/>
            <w:vAlign w:val="center"/>
          </w:tcPr>
          <w:p w:rsidR="00996399" w:rsidRPr="000F0032" w:rsidRDefault="00996399" w:rsidP="00C91F50">
            <w:pPr>
              <w:widowControl/>
              <w:suppressAutoHyphens w:val="0"/>
              <w:spacing w:before="40" w:after="40" w:line="276" w:lineRule="auto"/>
              <w:ind w:left="-57" w:right="-57"/>
              <w:jc w:val="center"/>
              <w:rPr>
                <w:rFonts w:eastAsia="Times New Roman"/>
                <w:b/>
                <w:sz w:val="18"/>
                <w:szCs w:val="18"/>
                <w:lang w:eastAsia="pl-PL"/>
              </w:rPr>
            </w:pPr>
            <w:r w:rsidRPr="000F0032">
              <w:rPr>
                <w:rFonts w:eastAsia="Times New Roman"/>
                <w:sz w:val="18"/>
                <w:szCs w:val="18"/>
                <w:lang w:eastAsia="pl-PL"/>
              </w:rPr>
              <w:t>niezrealizowanyc</w:t>
            </w:r>
            <w:r>
              <w:rPr>
                <w:rFonts w:eastAsia="Times New Roman"/>
                <w:sz w:val="18"/>
                <w:szCs w:val="18"/>
                <w:lang w:eastAsia="pl-PL"/>
              </w:rPr>
              <w:t xml:space="preserve">h kontroli zaplanowanych na </w:t>
            </w:r>
            <w:r w:rsidR="001263EB">
              <w:rPr>
                <w:rFonts w:eastAsia="Times New Roman"/>
                <w:sz w:val="18"/>
                <w:szCs w:val="18"/>
                <w:lang w:eastAsia="pl-PL"/>
              </w:rPr>
              <w:t>2020</w:t>
            </w:r>
            <w:r w:rsidR="00C91F50">
              <w:rPr>
                <w:rFonts w:eastAsia="Times New Roman"/>
                <w:sz w:val="18"/>
                <w:szCs w:val="18"/>
                <w:lang w:eastAsia="pl-PL"/>
              </w:rPr>
              <w:t xml:space="preserve"> </w:t>
            </w:r>
            <w:r w:rsidRPr="000F0032">
              <w:rPr>
                <w:rFonts w:eastAsia="Times New Roman"/>
                <w:sz w:val="18"/>
                <w:szCs w:val="18"/>
                <w:lang w:eastAsia="pl-PL"/>
              </w:rPr>
              <w:t>r.</w:t>
            </w:r>
          </w:p>
        </w:tc>
        <w:tc>
          <w:tcPr>
            <w:tcW w:w="519" w:type="pct"/>
            <w:shd w:val="clear" w:color="auto" w:fill="FFFFFF" w:themeFill="background1"/>
            <w:vAlign w:val="center"/>
          </w:tcPr>
          <w:p w:rsidR="00996399" w:rsidRPr="00EF167E" w:rsidRDefault="003D18CD" w:rsidP="003231AA">
            <w:pPr>
              <w:widowControl/>
              <w:suppressAutoHyphens w:val="0"/>
              <w:spacing w:line="276" w:lineRule="auto"/>
              <w:jc w:val="center"/>
              <w:rPr>
                <w:rFonts w:eastAsia="Times New Roman"/>
                <w:sz w:val="20"/>
                <w:lang w:eastAsia="pl-PL"/>
              </w:rPr>
            </w:pPr>
            <w:r>
              <w:rPr>
                <w:rFonts w:eastAsia="Times New Roman"/>
                <w:sz w:val="20"/>
                <w:lang w:eastAsia="pl-PL"/>
              </w:rPr>
              <w:t>3</w:t>
            </w:r>
          </w:p>
        </w:tc>
        <w:tc>
          <w:tcPr>
            <w:tcW w:w="517" w:type="pct"/>
            <w:shd w:val="clear" w:color="auto" w:fill="FFFFFF" w:themeFill="background1"/>
            <w:vAlign w:val="center"/>
          </w:tcPr>
          <w:p w:rsidR="00996399" w:rsidRPr="00EF167E"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511" w:type="pct"/>
            <w:shd w:val="clear" w:color="auto" w:fill="FFFFFF" w:themeFill="background1"/>
            <w:vAlign w:val="center"/>
          </w:tcPr>
          <w:p w:rsidR="00996399" w:rsidRPr="00EF167E" w:rsidRDefault="003D18CD" w:rsidP="003231AA">
            <w:pPr>
              <w:widowControl/>
              <w:suppressAutoHyphens w:val="0"/>
              <w:spacing w:line="276" w:lineRule="auto"/>
              <w:jc w:val="center"/>
              <w:rPr>
                <w:rFonts w:eastAsia="Times New Roman"/>
                <w:sz w:val="20"/>
                <w:lang w:eastAsia="pl-PL"/>
              </w:rPr>
            </w:pPr>
            <w:r>
              <w:rPr>
                <w:rFonts w:eastAsia="Times New Roman"/>
                <w:sz w:val="20"/>
                <w:lang w:eastAsia="pl-PL"/>
              </w:rPr>
              <w:t>3</w:t>
            </w:r>
          </w:p>
        </w:tc>
        <w:tc>
          <w:tcPr>
            <w:tcW w:w="502" w:type="pct"/>
            <w:shd w:val="clear" w:color="auto" w:fill="FFFFFF" w:themeFill="background1"/>
            <w:vAlign w:val="center"/>
          </w:tcPr>
          <w:p w:rsidR="00996399" w:rsidRPr="00EF167E" w:rsidRDefault="003231AA" w:rsidP="003231AA">
            <w:pPr>
              <w:widowControl/>
              <w:suppressAutoHyphens w:val="0"/>
              <w:spacing w:line="276" w:lineRule="auto"/>
              <w:jc w:val="center"/>
              <w:rPr>
                <w:rFonts w:eastAsia="Times New Roman"/>
                <w:sz w:val="20"/>
                <w:lang w:eastAsia="pl-PL"/>
              </w:rPr>
            </w:pPr>
            <w:r>
              <w:rPr>
                <w:rFonts w:eastAsia="Times New Roman"/>
                <w:sz w:val="20"/>
                <w:lang w:eastAsia="pl-PL"/>
              </w:rPr>
              <w:t>-</w:t>
            </w:r>
          </w:p>
        </w:tc>
        <w:tc>
          <w:tcPr>
            <w:tcW w:w="428" w:type="pct"/>
            <w:shd w:val="clear" w:color="auto" w:fill="FFFFFF" w:themeFill="background1"/>
            <w:vAlign w:val="center"/>
          </w:tcPr>
          <w:p w:rsidR="00996399" w:rsidRPr="00EF167E" w:rsidRDefault="003D18CD" w:rsidP="0061651F">
            <w:pPr>
              <w:widowControl/>
              <w:suppressAutoHyphens w:val="0"/>
              <w:spacing w:line="276" w:lineRule="auto"/>
              <w:jc w:val="center"/>
              <w:rPr>
                <w:rFonts w:eastAsia="Times New Roman"/>
                <w:b/>
                <w:sz w:val="20"/>
                <w:lang w:eastAsia="pl-PL"/>
              </w:rPr>
            </w:pPr>
            <w:r>
              <w:rPr>
                <w:rFonts w:eastAsia="Times New Roman"/>
                <w:b/>
                <w:sz w:val="20"/>
                <w:lang w:eastAsia="pl-PL"/>
              </w:rPr>
              <w:t>3</w:t>
            </w:r>
          </w:p>
        </w:tc>
      </w:tr>
      <w:tr w:rsidR="00F16A8C" w:rsidRPr="000F0032" w:rsidTr="00A02319">
        <w:trPr>
          <w:trHeight w:val="65"/>
        </w:trPr>
        <w:tc>
          <w:tcPr>
            <w:tcW w:w="2524" w:type="pct"/>
            <w:gridSpan w:val="2"/>
            <w:shd w:val="clear" w:color="auto" w:fill="D9D9D9" w:themeFill="background1" w:themeFillShade="D9"/>
            <w:vAlign w:val="center"/>
          </w:tcPr>
          <w:p w:rsidR="00F16A8C" w:rsidRPr="000F0032" w:rsidRDefault="00F16A8C" w:rsidP="0061651F">
            <w:pPr>
              <w:widowControl/>
              <w:suppressAutoHyphens w:val="0"/>
              <w:spacing w:before="40" w:after="40" w:line="276" w:lineRule="auto"/>
              <w:ind w:left="-57" w:right="-57"/>
              <w:jc w:val="center"/>
              <w:rPr>
                <w:rFonts w:eastAsia="Times New Roman"/>
                <w:sz w:val="18"/>
                <w:szCs w:val="18"/>
                <w:lang w:eastAsia="pl-PL"/>
              </w:rPr>
            </w:pPr>
            <w:r>
              <w:rPr>
                <w:rFonts w:eastAsia="Times New Roman"/>
                <w:sz w:val="18"/>
                <w:szCs w:val="18"/>
                <w:lang w:eastAsia="pl-PL"/>
              </w:rPr>
              <w:t>Średniego czasu trwania kontroli w dniach roboczych</w:t>
            </w:r>
          </w:p>
        </w:tc>
        <w:tc>
          <w:tcPr>
            <w:tcW w:w="519" w:type="pct"/>
            <w:shd w:val="clear" w:color="auto" w:fill="FFFFFF" w:themeFill="background1"/>
            <w:vAlign w:val="center"/>
          </w:tcPr>
          <w:p w:rsidR="00F16A8C" w:rsidRPr="00F16A8C" w:rsidRDefault="005B31D3" w:rsidP="003231AA">
            <w:pPr>
              <w:widowControl/>
              <w:suppressAutoHyphens w:val="0"/>
              <w:spacing w:line="276" w:lineRule="auto"/>
              <w:jc w:val="center"/>
              <w:rPr>
                <w:rFonts w:eastAsia="Times New Roman"/>
                <w:sz w:val="20"/>
                <w:lang w:eastAsia="pl-PL"/>
              </w:rPr>
            </w:pPr>
            <w:r>
              <w:rPr>
                <w:rFonts w:eastAsia="Times New Roman"/>
                <w:sz w:val="20"/>
                <w:lang w:eastAsia="pl-PL"/>
              </w:rPr>
              <w:t>9</w:t>
            </w:r>
          </w:p>
        </w:tc>
        <w:tc>
          <w:tcPr>
            <w:tcW w:w="517" w:type="pct"/>
            <w:shd w:val="clear" w:color="auto" w:fill="FFFFFF" w:themeFill="background1"/>
            <w:vAlign w:val="center"/>
          </w:tcPr>
          <w:p w:rsidR="00F16A8C" w:rsidRPr="00F16A8C" w:rsidRDefault="00F16A8C" w:rsidP="003231AA">
            <w:pPr>
              <w:widowControl/>
              <w:suppressAutoHyphens w:val="0"/>
              <w:spacing w:line="276" w:lineRule="auto"/>
              <w:jc w:val="center"/>
              <w:rPr>
                <w:rFonts w:eastAsia="Times New Roman"/>
                <w:sz w:val="20"/>
                <w:lang w:eastAsia="pl-PL"/>
              </w:rPr>
            </w:pPr>
            <w:r w:rsidRPr="00F16A8C">
              <w:rPr>
                <w:rFonts w:eastAsia="Times New Roman"/>
                <w:sz w:val="20"/>
                <w:lang w:eastAsia="pl-PL"/>
              </w:rPr>
              <w:t>-</w:t>
            </w:r>
          </w:p>
        </w:tc>
        <w:tc>
          <w:tcPr>
            <w:tcW w:w="511" w:type="pct"/>
            <w:shd w:val="clear" w:color="auto" w:fill="FFFFFF" w:themeFill="background1"/>
            <w:vAlign w:val="center"/>
          </w:tcPr>
          <w:p w:rsidR="00F16A8C" w:rsidRPr="00F16A8C" w:rsidRDefault="005B31D3" w:rsidP="003231AA">
            <w:pPr>
              <w:widowControl/>
              <w:suppressAutoHyphens w:val="0"/>
              <w:spacing w:line="276" w:lineRule="auto"/>
              <w:jc w:val="center"/>
              <w:rPr>
                <w:rFonts w:eastAsia="Times New Roman"/>
                <w:sz w:val="20"/>
                <w:lang w:eastAsia="pl-PL"/>
              </w:rPr>
            </w:pPr>
            <w:r>
              <w:rPr>
                <w:rFonts w:eastAsia="Times New Roman"/>
                <w:sz w:val="20"/>
                <w:lang w:eastAsia="pl-PL"/>
              </w:rPr>
              <w:t>9</w:t>
            </w:r>
          </w:p>
        </w:tc>
        <w:tc>
          <w:tcPr>
            <w:tcW w:w="502" w:type="pct"/>
            <w:shd w:val="clear" w:color="auto" w:fill="FFFFFF" w:themeFill="background1"/>
            <w:vAlign w:val="center"/>
          </w:tcPr>
          <w:p w:rsidR="00F16A8C" w:rsidRPr="000F0032" w:rsidRDefault="00F16A8C" w:rsidP="003231AA">
            <w:pPr>
              <w:widowControl/>
              <w:suppressAutoHyphens w:val="0"/>
              <w:spacing w:line="276" w:lineRule="auto"/>
              <w:jc w:val="center"/>
              <w:rPr>
                <w:rFonts w:eastAsia="Times New Roman"/>
                <w:b/>
                <w:sz w:val="20"/>
                <w:lang w:eastAsia="pl-PL"/>
              </w:rPr>
            </w:pPr>
            <w:r>
              <w:rPr>
                <w:rFonts w:eastAsia="Times New Roman"/>
                <w:b/>
                <w:sz w:val="20"/>
                <w:lang w:eastAsia="pl-PL"/>
              </w:rPr>
              <w:t>-</w:t>
            </w:r>
          </w:p>
        </w:tc>
        <w:tc>
          <w:tcPr>
            <w:tcW w:w="428" w:type="pct"/>
            <w:shd w:val="clear" w:color="auto" w:fill="FFFFFF" w:themeFill="background1"/>
            <w:vAlign w:val="center"/>
          </w:tcPr>
          <w:p w:rsidR="00F16A8C" w:rsidRPr="000F0032" w:rsidRDefault="005B31D3" w:rsidP="0061651F">
            <w:pPr>
              <w:widowControl/>
              <w:suppressAutoHyphens w:val="0"/>
              <w:spacing w:line="276" w:lineRule="auto"/>
              <w:jc w:val="center"/>
              <w:rPr>
                <w:rFonts w:eastAsia="Times New Roman"/>
                <w:b/>
                <w:sz w:val="20"/>
                <w:lang w:eastAsia="pl-PL"/>
              </w:rPr>
            </w:pPr>
            <w:r>
              <w:rPr>
                <w:rFonts w:eastAsia="Times New Roman"/>
                <w:b/>
                <w:sz w:val="20"/>
                <w:lang w:eastAsia="pl-PL"/>
              </w:rPr>
              <w:t>9</w:t>
            </w:r>
          </w:p>
        </w:tc>
      </w:tr>
    </w:tbl>
    <w:p w:rsidR="00D828BD" w:rsidRPr="003C619D" w:rsidRDefault="00BE2970" w:rsidP="003C619D">
      <w:pPr>
        <w:spacing w:line="276" w:lineRule="auto"/>
        <w:jc w:val="both"/>
        <w:rPr>
          <w:b/>
          <w:sz w:val="14"/>
        </w:rPr>
      </w:pPr>
      <w:r>
        <w:rPr>
          <w:b/>
          <w:sz w:val="14"/>
        </w:rPr>
        <w:t xml:space="preserve">       </w:t>
      </w:r>
      <w:r w:rsidR="003C619D">
        <w:rPr>
          <w:b/>
          <w:sz w:val="14"/>
        </w:rPr>
        <w:t>*</w:t>
      </w:r>
      <w:r w:rsidR="003C619D" w:rsidRPr="003C619D">
        <w:rPr>
          <w:b/>
          <w:i/>
          <w:sz w:val="14"/>
        </w:rPr>
        <w:t>Dotyczy skontrolowanych jednostek i komórek organizacyjnych</w:t>
      </w:r>
    </w:p>
    <w:p w:rsidR="003C619D" w:rsidRPr="003C619D" w:rsidRDefault="003C619D" w:rsidP="003C619D">
      <w:pPr>
        <w:spacing w:line="276" w:lineRule="auto"/>
        <w:jc w:val="both"/>
        <w:rPr>
          <w:b/>
        </w:rPr>
      </w:pPr>
    </w:p>
    <w:p w:rsidR="002F1BAC" w:rsidRDefault="00C5761E" w:rsidP="0061651F">
      <w:pPr>
        <w:spacing w:line="276" w:lineRule="auto"/>
        <w:jc w:val="both"/>
        <w:rPr>
          <w:b/>
        </w:rPr>
      </w:pPr>
      <w:r>
        <w:rPr>
          <w:b/>
        </w:rPr>
        <w:t>Dane dotyczące zawiadomień wykazanych w tabeli powyżej.</w:t>
      </w:r>
    </w:p>
    <w:p w:rsidR="009B50AA" w:rsidRDefault="009B50AA" w:rsidP="0061651F">
      <w:pPr>
        <w:spacing w:line="276" w:lineRule="auto"/>
        <w:jc w:val="both"/>
        <w:rPr>
          <w:b/>
        </w:rPr>
      </w:pPr>
    </w:p>
    <w:tbl>
      <w:tblPr>
        <w:tblStyle w:val="Tabela-Siatka"/>
        <w:tblW w:w="0" w:type="auto"/>
        <w:tblLook w:val="04A0" w:firstRow="1" w:lastRow="0" w:firstColumn="1" w:lastColumn="0" w:noHBand="0" w:noVBand="1"/>
      </w:tblPr>
      <w:tblGrid>
        <w:gridCol w:w="407"/>
        <w:gridCol w:w="1142"/>
        <w:gridCol w:w="732"/>
        <w:gridCol w:w="1119"/>
        <w:gridCol w:w="683"/>
        <w:gridCol w:w="1398"/>
        <w:gridCol w:w="1425"/>
        <w:gridCol w:w="1403"/>
        <w:gridCol w:w="979"/>
      </w:tblGrid>
      <w:tr w:rsidR="00D828BD" w:rsidTr="00A02319">
        <w:tc>
          <w:tcPr>
            <w:tcW w:w="0" w:type="auto"/>
            <w:shd w:val="clear" w:color="auto" w:fill="D9D9D9" w:themeFill="background1" w:themeFillShade="D9"/>
            <w:vAlign w:val="center"/>
          </w:tcPr>
          <w:p w:rsidR="00C5761E" w:rsidRPr="00F30850" w:rsidRDefault="00C5761E" w:rsidP="00F30850">
            <w:pPr>
              <w:spacing w:line="276" w:lineRule="auto"/>
              <w:jc w:val="center"/>
              <w:rPr>
                <w:sz w:val="14"/>
                <w:szCs w:val="14"/>
              </w:rPr>
            </w:pPr>
            <w:r w:rsidRPr="00F30850">
              <w:rPr>
                <w:sz w:val="14"/>
                <w:szCs w:val="14"/>
              </w:rPr>
              <w:t>Lp</w:t>
            </w:r>
            <w:r w:rsidR="00F30850" w:rsidRPr="00F30850">
              <w:rPr>
                <w:sz w:val="14"/>
                <w:szCs w:val="14"/>
              </w:rPr>
              <w:t>.</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Rodzaj zawiadomienia</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Temat kontroli</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Data zawiadomienia</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W sprawie</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Podmiot do którego skierowano zawiadomienie</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Podmiot/osoba, którego dotyczy zawiadomienie</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Informacje o rozstrzygnięciu lub stanie sprawy</w:t>
            </w:r>
          </w:p>
        </w:tc>
        <w:tc>
          <w:tcPr>
            <w:tcW w:w="0" w:type="auto"/>
            <w:shd w:val="clear" w:color="auto" w:fill="D9D9D9" w:themeFill="background1" w:themeFillShade="D9"/>
            <w:vAlign w:val="center"/>
          </w:tcPr>
          <w:p w:rsidR="00C5761E" w:rsidRPr="00F30850" w:rsidRDefault="00C5761E" w:rsidP="00C5761E">
            <w:pPr>
              <w:spacing w:line="276" w:lineRule="auto"/>
              <w:jc w:val="center"/>
              <w:rPr>
                <w:sz w:val="14"/>
                <w:szCs w:val="14"/>
              </w:rPr>
            </w:pPr>
            <w:r w:rsidRPr="00F30850">
              <w:rPr>
                <w:sz w:val="14"/>
                <w:szCs w:val="14"/>
              </w:rPr>
              <w:t>Dodatkowe informacje</w:t>
            </w:r>
          </w:p>
        </w:tc>
      </w:tr>
      <w:tr w:rsidR="00D828BD" w:rsidTr="00C5761E">
        <w:tc>
          <w:tcPr>
            <w:tcW w:w="0" w:type="auto"/>
            <w:vAlign w:val="center"/>
          </w:tcPr>
          <w:p w:rsidR="00C5761E" w:rsidRPr="00F30850" w:rsidRDefault="00C5761E" w:rsidP="00C5761E">
            <w:pPr>
              <w:spacing w:line="276" w:lineRule="auto"/>
              <w:jc w:val="center"/>
              <w:rPr>
                <w:sz w:val="14"/>
                <w:szCs w:val="14"/>
              </w:rPr>
            </w:pPr>
            <w:r w:rsidRPr="00F30850">
              <w:rPr>
                <w:sz w:val="14"/>
                <w:szCs w:val="14"/>
              </w:rPr>
              <w:t>1.</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2.</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3.</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4.</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5.</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6.</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7.</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8.</w:t>
            </w:r>
          </w:p>
        </w:tc>
        <w:tc>
          <w:tcPr>
            <w:tcW w:w="0" w:type="auto"/>
            <w:vAlign w:val="center"/>
          </w:tcPr>
          <w:p w:rsidR="00C5761E" w:rsidRPr="00F30850" w:rsidRDefault="00C5761E" w:rsidP="00C5761E">
            <w:pPr>
              <w:spacing w:line="276" w:lineRule="auto"/>
              <w:jc w:val="center"/>
              <w:rPr>
                <w:sz w:val="14"/>
                <w:szCs w:val="14"/>
              </w:rPr>
            </w:pPr>
            <w:r w:rsidRPr="00F30850">
              <w:rPr>
                <w:sz w:val="14"/>
                <w:szCs w:val="14"/>
              </w:rPr>
              <w:t>9.</w:t>
            </w:r>
          </w:p>
        </w:tc>
      </w:tr>
      <w:tr w:rsidR="00D828BD" w:rsidTr="00C5761E">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c>
          <w:tcPr>
            <w:tcW w:w="0" w:type="auto"/>
            <w:vAlign w:val="center"/>
          </w:tcPr>
          <w:p w:rsidR="00C5761E" w:rsidRPr="00F30850" w:rsidRDefault="00CA7E83" w:rsidP="00C5761E">
            <w:pPr>
              <w:spacing w:line="276" w:lineRule="auto"/>
              <w:jc w:val="center"/>
              <w:rPr>
                <w:sz w:val="14"/>
                <w:szCs w:val="14"/>
              </w:rPr>
            </w:pPr>
            <w:r>
              <w:rPr>
                <w:sz w:val="14"/>
                <w:szCs w:val="14"/>
              </w:rPr>
              <w:t>-</w:t>
            </w:r>
          </w:p>
        </w:tc>
      </w:tr>
    </w:tbl>
    <w:p w:rsidR="00C5761E" w:rsidRDefault="00C5761E" w:rsidP="0061651F">
      <w:pPr>
        <w:spacing w:line="276" w:lineRule="auto"/>
        <w:jc w:val="both"/>
        <w:rPr>
          <w:b/>
        </w:rPr>
      </w:pPr>
    </w:p>
    <w:p w:rsidR="00F806E7" w:rsidRDefault="00F806E7" w:rsidP="0061651F">
      <w:pPr>
        <w:spacing w:line="276" w:lineRule="auto"/>
        <w:jc w:val="both"/>
        <w:rPr>
          <w:b/>
        </w:rPr>
      </w:pPr>
    </w:p>
    <w:p w:rsidR="0033041F" w:rsidRPr="003D18CD" w:rsidRDefault="00D15009" w:rsidP="003D18CD">
      <w:pPr>
        <w:pStyle w:val="Akapitzlist"/>
        <w:numPr>
          <w:ilvl w:val="0"/>
          <w:numId w:val="3"/>
        </w:numPr>
        <w:spacing w:line="276" w:lineRule="auto"/>
        <w:jc w:val="both"/>
        <w:rPr>
          <w:b/>
        </w:rPr>
      </w:pPr>
      <w:r>
        <w:rPr>
          <w:b/>
        </w:rPr>
        <w:t>Wyniki</w:t>
      </w:r>
      <w:r w:rsidR="0010717E">
        <w:rPr>
          <w:b/>
        </w:rPr>
        <w:t xml:space="preserve"> kontroli zakończonych w 2020 roku</w:t>
      </w:r>
      <w:r w:rsidR="005F13DE" w:rsidRPr="003D18CD">
        <w:rPr>
          <w:b/>
        </w:rPr>
        <w:t>.</w:t>
      </w:r>
    </w:p>
    <w:p w:rsidR="00280F43" w:rsidRDefault="00280F43" w:rsidP="0061651F">
      <w:pPr>
        <w:spacing w:line="276" w:lineRule="auto"/>
        <w:jc w:val="both"/>
        <w:rPr>
          <w:b/>
        </w:rPr>
      </w:pPr>
    </w:p>
    <w:p w:rsidR="0010717E" w:rsidRDefault="00470523" w:rsidP="0010717E">
      <w:pPr>
        <w:widowControl/>
        <w:suppressAutoHyphens w:val="0"/>
        <w:spacing w:line="276" w:lineRule="auto"/>
        <w:ind w:right="150" w:firstLine="360"/>
        <w:jc w:val="both"/>
        <w:rPr>
          <w:rFonts w:eastAsia="Times New Roman"/>
          <w:color w:val="000000"/>
          <w:szCs w:val="24"/>
          <w:lang w:eastAsia="pl-PL"/>
        </w:rPr>
      </w:pPr>
      <w:r>
        <w:rPr>
          <w:b/>
        </w:rPr>
        <w:tab/>
      </w:r>
    </w:p>
    <w:tbl>
      <w:tblPr>
        <w:tblStyle w:val="Tabela-Siatka1"/>
        <w:tblW w:w="0" w:type="auto"/>
        <w:tblLook w:val="04A0" w:firstRow="1" w:lastRow="0" w:firstColumn="1" w:lastColumn="0" w:noHBand="0" w:noVBand="1"/>
      </w:tblPr>
      <w:tblGrid>
        <w:gridCol w:w="4606"/>
        <w:gridCol w:w="4606"/>
      </w:tblGrid>
      <w:tr w:rsidR="0010717E" w:rsidRPr="0010717E" w:rsidTr="00A02319">
        <w:tc>
          <w:tcPr>
            <w:tcW w:w="4606" w:type="dxa"/>
            <w:shd w:val="clear" w:color="auto" w:fill="D9D9D9" w:themeFill="background1" w:themeFillShade="D9"/>
            <w:vAlign w:val="center"/>
          </w:tcPr>
          <w:p w:rsidR="0010717E" w:rsidRPr="0010717E" w:rsidRDefault="0010717E" w:rsidP="0010717E">
            <w:pPr>
              <w:spacing w:line="276" w:lineRule="auto"/>
              <w:contextualSpacing/>
              <w:jc w:val="center"/>
              <w:rPr>
                <w:sz w:val="20"/>
              </w:rPr>
            </w:pPr>
            <w:r w:rsidRPr="0010717E">
              <w:rPr>
                <w:sz w:val="20"/>
              </w:rPr>
              <w:t>Wyniki kontroli</w:t>
            </w:r>
          </w:p>
        </w:tc>
        <w:tc>
          <w:tcPr>
            <w:tcW w:w="4606" w:type="dxa"/>
            <w:shd w:val="clear" w:color="auto" w:fill="D9D9D9" w:themeFill="background1" w:themeFillShade="D9"/>
            <w:vAlign w:val="center"/>
          </w:tcPr>
          <w:p w:rsidR="0010717E" w:rsidRPr="0010717E" w:rsidRDefault="0010717E" w:rsidP="0010717E">
            <w:pPr>
              <w:spacing w:line="276" w:lineRule="auto"/>
              <w:contextualSpacing/>
              <w:jc w:val="center"/>
              <w:rPr>
                <w:sz w:val="20"/>
              </w:rPr>
            </w:pPr>
            <w:r w:rsidRPr="0010717E">
              <w:rPr>
                <w:sz w:val="20"/>
              </w:rPr>
              <w:t>Liczba zakończonych kontroli</w:t>
            </w:r>
          </w:p>
        </w:tc>
      </w:tr>
      <w:tr w:rsidR="0010717E" w:rsidRPr="0010717E" w:rsidTr="00A02319">
        <w:tc>
          <w:tcPr>
            <w:tcW w:w="4606" w:type="dxa"/>
            <w:shd w:val="clear" w:color="auto" w:fill="D9D9D9" w:themeFill="background1" w:themeFillShade="D9"/>
            <w:vAlign w:val="center"/>
          </w:tcPr>
          <w:p w:rsidR="0010717E" w:rsidRPr="0010717E" w:rsidRDefault="0010717E" w:rsidP="0010717E">
            <w:pPr>
              <w:spacing w:line="276" w:lineRule="auto"/>
              <w:contextualSpacing/>
              <w:rPr>
                <w:sz w:val="20"/>
              </w:rPr>
            </w:pPr>
            <w:r w:rsidRPr="0010717E">
              <w:rPr>
                <w:sz w:val="20"/>
              </w:rPr>
              <w:t>Pozytywna</w:t>
            </w:r>
          </w:p>
        </w:tc>
        <w:tc>
          <w:tcPr>
            <w:tcW w:w="4606" w:type="dxa"/>
            <w:vAlign w:val="center"/>
          </w:tcPr>
          <w:p w:rsidR="0010717E" w:rsidRPr="0010717E" w:rsidRDefault="00531E39" w:rsidP="0010717E">
            <w:pPr>
              <w:spacing w:line="276" w:lineRule="auto"/>
              <w:contextualSpacing/>
              <w:jc w:val="center"/>
              <w:rPr>
                <w:sz w:val="20"/>
              </w:rPr>
            </w:pPr>
            <w:r>
              <w:rPr>
                <w:sz w:val="20"/>
              </w:rPr>
              <w:t>9</w:t>
            </w:r>
          </w:p>
        </w:tc>
      </w:tr>
      <w:tr w:rsidR="0010717E" w:rsidRPr="0010717E" w:rsidTr="00A02319">
        <w:tc>
          <w:tcPr>
            <w:tcW w:w="4606" w:type="dxa"/>
            <w:shd w:val="clear" w:color="auto" w:fill="D9D9D9" w:themeFill="background1" w:themeFillShade="D9"/>
            <w:vAlign w:val="center"/>
          </w:tcPr>
          <w:p w:rsidR="0010717E" w:rsidRPr="0010717E" w:rsidRDefault="0010717E" w:rsidP="0010717E">
            <w:pPr>
              <w:spacing w:line="276" w:lineRule="auto"/>
              <w:contextualSpacing/>
              <w:rPr>
                <w:sz w:val="20"/>
              </w:rPr>
            </w:pPr>
            <w:r w:rsidRPr="0010717E">
              <w:rPr>
                <w:sz w:val="20"/>
              </w:rPr>
              <w:t>Pozytywna z uchybieniami</w:t>
            </w:r>
          </w:p>
        </w:tc>
        <w:tc>
          <w:tcPr>
            <w:tcW w:w="4606" w:type="dxa"/>
            <w:vAlign w:val="center"/>
          </w:tcPr>
          <w:p w:rsidR="0010717E" w:rsidRPr="0010717E" w:rsidRDefault="0010717E" w:rsidP="0010717E">
            <w:pPr>
              <w:spacing w:line="276" w:lineRule="auto"/>
              <w:contextualSpacing/>
              <w:jc w:val="center"/>
              <w:rPr>
                <w:sz w:val="20"/>
              </w:rPr>
            </w:pPr>
            <w:r w:rsidRPr="0010717E">
              <w:rPr>
                <w:sz w:val="20"/>
              </w:rPr>
              <w:t>1</w:t>
            </w:r>
          </w:p>
        </w:tc>
      </w:tr>
      <w:tr w:rsidR="0010717E" w:rsidRPr="0010717E" w:rsidTr="00A02319">
        <w:tc>
          <w:tcPr>
            <w:tcW w:w="4606" w:type="dxa"/>
            <w:shd w:val="clear" w:color="auto" w:fill="D9D9D9" w:themeFill="background1" w:themeFillShade="D9"/>
            <w:vAlign w:val="center"/>
          </w:tcPr>
          <w:p w:rsidR="0010717E" w:rsidRPr="0010717E" w:rsidRDefault="0010717E" w:rsidP="0010717E">
            <w:pPr>
              <w:spacing w:line="276" w:lineRule="auto"/>
              <w:contextualSpacing/>
              <w:rPr>
                <w:sz w:val="20"/>
              </w:rPr>
            </w:pPr>
            <w:r w:rsidRPr="0010717E">
              <w:rPr>
                <w:sz w:val="20"/>
              </w:rPr>
              <w:t>Pozytywna z nieprawidłowościami</w:t>
            </w:r>
          </w:p>
        </w:tc>
        <w:tc>
          <w:tcPr>
            <w:tcW w:w="4606" w:type="dxa"/>
            <w:vAlign w:val="center"/>
          </w:tcPr>
          <w:p w:rsidR="0010717E" w:rsidRPr="0010717E" w:rsidRDefault="0010717E" w:rsidP="0010717E">
            <w:pPr>
              <w:spacing w:line="276" w:lineRule="auto"/>
              <w:contextualSpacing/>
              <w:jc w:val="center"/>
              <w:rPr>
                <w:sz w:val="20"/>
              </w:rPr>
            </w:pPr>
            <w:r w:rsidRPr="0010717E">
              <w:rPr>
                <w:sz w:val="20"/>
              </w:rPr>
              <w:t>1</w:t>
            </w:r>
          </w:p>
        </w:tc>
      </w:tr>
      <w:tr w:rsidR="0010717E" w:rsidRPr="0010717E" w:rsidTr="00A02319">
        <w:tc>
          <w:tcPr>
            <w:tcW w:w="4606" w:type="dxa"/>
            <w:shd w:val="clear" w:color="auto" w:fill="D9D9D9" w:themeFill="background1" w:themeFillShade="D9"/>
            <w:vAlign w:val="center"/>
          </w:tcPr>
          <w:p w:rsidR="0010717E" w:rsidRPr="0010717E" w:rsidRDefault="0010717E" w:rsidP="0010717E">
            <w:pPr>
              <w:spacing w:line="276" w:lineRule="auto"/>
              <w:contextualSpacing/>
              <w:rPr>
                <w:sz w:val="20"/>
              </w:rPr>
            </w:pPr>
            <w:r w:rsidRPr="0010717E">
              <w:rPr>
                <w:sz w:val="20"/>
              </w:rPr>
              <w:t>Negatywna</w:t>
            </w:r>
          </w:p>
        </w:tc>
        <w:tc>
          <w:tcPr>
            <w:tcW w:w="4606" w:type="dxa"/>
            <w:vAlign w:val="center"/>
          </w:tcPr>
          <w:p w:rsidR="0010717E" w:rsidRPr="0010717E" w:rsidRDefault="0010717E" w:rsidP="0010717E">
            <w:pPr>
              <w:spacing w:line="276" w:lineRule="auto"/>
              <w:contextualSpacing/>
              <w:jc w:val="center"/>
              <w:rPr>
                <w:sz w:val="20"/>
              </w:rPr>
            </w:pPr>
            <w:r w:rsidRPr="0010717E">
              <w:rPr>
                <w:sz w:val="20"/>
              </w:rPr>
              <w:t>-</w:t>
            </w:r>
          </w:p>
        </w:tc>
      </w:tr>
    </w:tbl>
    <w:p w:rsidR="00F3078B" w:rsidRDefault="00F3078B" w:rsidP="0010717E">
      <w:pPr>
        <w:widowControl/>
        <w:suppressAutoHyphens w:val="0"/>
        <w:spacing w:line="276" w:lineRule="auto"/>
        <w:ind w:right="150" w:firstLine="360"/>
        <w:jc w:val="both"/>
        <w:rPr>
          <w:rFonts w:eastAsia="Times New Roman"/>
          <w:color w:val="000000"/>
          <w:szCs w:val="24"/>
          <w:lang w:eastAsia="pl-PL"/>
        </w:rPr>
      </w:pPr>
    </w:p>
    <w:p w:rsidR="00F3078B" w:rsidRPr="00F3078B" w:rsidRDefault="00F3078B" w:rsidP="0061651F">
      <w:pPr>
        <w:widowControl/>
        <w:suppressAutoHyphens w:val="0"/>
        <w:spacing w:line="276" w:lineRule="auto"/>
        <w:ind w:left="720" w:right="150"/>
        <w:jc w:val="both"/>
        <w:rPr>
          <w:rFonts w:eastAsia="Times New Roman"/>
          <w:color w:val="000000"/>
          <w:szCs w:val="24"/>
          <w:lang w:eastAsia="pl-PL"/>
        </w:rPr>
      </w:pPr>
    </w:p>
    <w:p w:rsidR="000F0032" w:rsidRPr="00531E39" w:rsidRDefault="00531E39" w:rsidP="00531E39">
      <w:pPr>
        <w:pStyle w:val="Akapitzlist"/>
        <w:numPr>
          <w:ilvl w:val="0"/>
          <w:numId w:val="3"/>
        </w:numPr>
        <w:spacing w:line="276" w:lineRule="auto"/>
        <w:jc w:val="both"/>
        <w:rPr>
          <w:b/>
          <w:szCs w:val="24"/>
        </w:rPr>
      </w:pPr>
      <w:r>
        <w:rPr>
          <w:b/>
          <w:szCs w:val="24"/>
        </w:rPr>
        <w:t>Istotne nieprawidłowości, które skutkowały sformułowaniem znaczących zaleceń</w:t>
      </w:r>
      <w:r w:rsidR="00A02319">
        <w:rPr>
          <w:b/>
          <w:szCs w:val="24"/>
          <w:vertAlign w:val="superscript"/>
        </w:rPr>
        <w:t>*</w:t>
      </w:r>
      <w:r>
        <w:rPr>
          <w:b/>
          <w:szCs w:val="24"/>
        </w:rPr>
        <w:t xml:space="preserve"> pokontrolnych (wraz ze stanem ich realizacji)</w:t>
      </w:r>
      <w:r w:rsidR="00BB0BB7" w:rsidRPr="00531E39">
        <w:rPr>
          <w:b/>
          <w:szCs w:val="24"/>
        </w:rPr>
        <w:t>.</w:t>
      </w:r>
    </w:p>
    <w:p w:rsidR="00BB0BB7" w:rsidRDefault="00BB0BB7" w:rsidP="0061651F">
      <w:pPr>
        <w:spacing w:line="276" w:lineRule="auto"/>
        <w:jc w:val="both"/>
        <w:rPr>
          <w:b/>
          <w:szCs w:val="24"/>
        </w:rPr>
      </w:pPr>
    </w:p>
    <w:tbl>
      <w:tblPr>
        <w:tblStyle w:val="Tabela-Siatka"/>
        <w:tblW w:w="0" w:type="auto"/>
        <w:tblLayout w:type="fixed"/>
        <w:tblLook w:val="04A0" w:firstRow="1" w:lastRow="0" w:firstColumn="1" w:lastColumn="0" w:noHBand="0" w:noVBand="1"/>
      </w:tblPr>
      <w:tblGrid>
        <w:gridCol w:w="1696"/>
        <w:gridCol w:w="2977"/>
        <w:gridCol w:w="2693"/>
        <w:gridCol w:w="1696"/>
      </w:tblGrid>
      <w:tr w:rsidR="00311F3D" w:rsidRPr="00A02319" w:rsidTr="00311F3D">
        <w:tc>
          <w:tcPr>
            <w:tcW w:w="1696" w:type="dxa"/>
            <w:shd w:val="clear" w:color="auto" w:fill="D9D9D9" w:themeFill="background1" w:themeFillShade="D9"/>
            <w:vAlign w:val="center"/>
          </w:tcPr>
          <w:p w:rsidR="00A02319" w:rsidRPr="00A02319" w:rsidRDefault="00A02319" w:rsidP="00A02319">
            <w:pPr>
              <w:pStyle w:val="Akapitzlist"/>
              <w:spacing w:line="276" w:lineRule="auto"/>
              <w:ind w:left="0"/>
              <w:jc w:val="center"/>
              <w:rPr>
                <w:sz w:val="20"/>
              </w:rPr>
            </w:pPr>
            <w:r>
              <w:rPr>
                <w:sz w:val="20"/>
              </w:rPr>
              <w:t>Obszar kontroli</w:t>
            </w:r>
          </w:p>
        </w:tc>
        <w:tc>
          <w:tcPr>
            <w:tcW w:w="2977" w:type="dxa"/>
            <w:shd w:val="clear" w:color="auto" w:fill="D9D9D9" w:themeFill="background1" w:themeFillShade="D9"/>
            <w:vAlign w:val="center"/>
          </w:tcPr>
          <w:p w:rsidR="00A02319" w:rsidRPr="00A02319" w:rsidRDefault="00A02319" w:rsidP="00A02319">
            <w:pPr>
              <w:pStyle w:val="Akapitzlist"/>
              <w:spacing w:line="276" w:lineRule="auto"/>
              <w:ind w:left="0"/>
              <w:jc w:val="center"/>
              <w:rPr>
                <w:sz w:val="20"/>
              </w:rPr>
            </w:pPr>
            <w:r>
              <w:rPr>
                <w:sz w:val="20"/>
              </w:rPr>
              <w:t>Istotna nieprawidłowość</w:t>
            </w:r>
          </w:p>
        </w:tc>
        <w:tc>
          <w:tcPr>
            <w:tcW w:w="2693" w:type="dxa"/>
            <w:shd w:val="clear" w:color="auto" w:fill="D9D9D9" w:themeFill="background1" w:themeFillShade="D9"/>
            <w:vAlign w:val="center"/>
          </w:tcPr>
          <w:p w:rsidR="00A02319" w:rsidRPr="00A02319" w:rsidRDefault="00A02319" w:rsidP="00A02319">
            <w:pPr>
              <w:pStyle w:val="Akapitzlist"/>
              <w:spacing w:line="276" w:lineRule="auto"/>
              <w:ind w:left="0"/>
              <w:jc w:val="center"/>
              <w:rPr>
                <w:sz w:val="20"/>
              </w:rPr>
            </w:pPr>
            <w:r>
              <w:rPr>
                <w:sz w:val="20"/>
              </w:rPr>
              <w:t>Treść zalecenia znaczącego</w:t>
            </w:r>
          </w:p>
        </w:tc>
        <w:tc>
          <w:tcPr>
            <w:tcW w:w="1696" w:type="dxa"/>
            <w:shd w:val="clear" w:color="auto" w:fill="D9D9D9" w:themeFill="background1" w:themeFillShade="D9"/>
            <w:vAlign w:val="center"/>
          </w:tcPr>
          <w:p w:rsidR="00A02319" w:rsidRDefault="00A02319" w:rsidP="00A02319">
            <w:pPr>
              <w:pStyle w:val="Akapitzlist"/>
              <w:spacing w:line="276" w:lineRule="auto"/>
              <w:ind w:left="0"/>
              <w:jc w:val="center"/>
              <w:rPr>
                <w:sz w:val="20"/>
              </w:rPr>
            </w:pPr>
            <w:r>
              <w:rPr>
                <w:sz w:val="20"/>
              </w:rPr>
              <w:t>Status zalecenia</w:t>
            </w:r>
          </w:p>
          <w:p w:rsidR="00A02319" w:rsidRPr="00A02319" w:rsidRDefault="00A02319" w:rsidP="00A02319">
            <w:pPr>
              <w:pStyle w:val="Akapitzlist"/>
              <w:spacing w:line="276" w:lineRule="auto"/>
              <w:ind w:left="0"/>
              <w:jc w:val="center"/>
              <w:rPr>
                <w:sz w:val="16"/>
                <w:szCs w:val="16"/>
              </w:rPr>
            </w:pPr>
            <w:r>
              <w:rPr>
                <w:sz w:val="16"/>
                <w:szCs w:val="16"/>
              </w:rPr>
              <w:t>(zrealizowane/realizowane/niezrealizowane/niemonitorowane)</w:t>
            </w:r>
          </w:p>
        </w:tc>
      </w:tr>
      <w:tr w:rsidR="00311F3D" w:rsidRPr="00A02319" w:rsidTr="009C379B">
        <w:tc>
          <w:tcPr>
            <w:tcW w:w="1696" w:type="dxa"/>
          </w:tcPr>
          <w:p w:rsidR="00A02319" w:rsidRPr="00A11AC9" w:rsidRDefault="009523F9" w:rsidP="00A11AC9">
            <w:pPr>
              <w:pStyle w:val="Akapitzlist"/>
              <w:spacing w:line="276" w:lineRule="auto"/>
              <w:ind w:left="0"/>
              <w:rPr>
                <w:sz w:val="16"/>
                <w:szCs w:val="16"/>
              </w:rPr>
            </w:pPr>
            <w:r>
              <w:rPr>
                <w:bCs/>
                <w:sz w:val="16"/>
                <w:szCs w:val="16"/>
              </w:rPr>
              <w:t>U</w:t>
            </w:r>
            <w:r w:rsidRPr="009523F9">
              <w:rPr>
                <w:bCs/>
                <w:sz w:val="16"/>
                <w:szCs w:val="16"/>
              </w:rPr>
              <w:t>regulowa</w:t>
            </w:r>
            <w:r>
              <w:rPr>
                <w:bCs/>
                <w:sz w:val="16"/>
                <w:szCs w:val="16"/>
              </w:rPr>
              <w:t xml:space="preserve">nia </w:t>
            </w:r>
            <w:r w:rsidRPr="009523F9">
              <w:rPr>
                <w:bCs/>
                <w:sz w:val="16"/>
                <w:szCs w:val="16"/>
              </w:rPr>
              <w:t>organizacyjno - etatow</w:t>
            </w:r>
            <w:r>
              <w:rPr>
                <w:bCs/>
                <w:sz w:val="16"/>
                <w:szCs w:val="16"/>
              </w:rPr>
              <w:t>e</w:t>
            </w:r>
            <w:r w:rsidRPr="009523F9">
              <w:rPr>
                <w:bCs/>
                <w:sz w:val="16"/>
                <w:szCs w:val="16"/>
              </w:rPr>
              <w:t xml:space="preserve"> w Wydziale </w:t>
            </w:r>
            <w:r w:rsidRPr="009523F9">
              <w:rPr>
                <w:bCs/>
                <w:sz w:val="16"/>
                <w:szCs w:val="16"/>
              </w:rPr>
              <w:lastRenderedPageBreak/>
              <w:t>Łączności                             i Informatyki  KWP w Krakowie, w tym zakres</w:t>
            </w:r>
            <w:r>
              <w:rPr>
                <w:bCs/>
                <w:sz w:val="16"/>
                <w:szCs w:val="16"/>
              </w:rPr>
              <w:t>y</w:t>
            </w:r>
            <w:r w:rsidRPr="009523F9">
              <w:rPr>
                <w:bCs/>
                <w:sz w:val="16"/>
                <w:szCs w:val="16"/>
              </w:rPr>
              <w:t xml:space="preserve"> obowiązków i poświadcze</w:t>
            </w:r>
            <w:r>
              <w:rPr>
                <w:bCs/>
                <w:sz w:val="16"/>
                <w:szCs w:val="16"/>
              </w:rPr>
              <w:t xml:space="preserve">nia </w:t>
            </w:r>
            <w:r w:rsidRPr="009523F9">
              <w:rPr>
                <w:bCs/>
                <w:sz w:val="16"/>
                <w:szCs w:val="16"/>
              </w:rPr>
              <w:t>bezpieczeństwa oraz zaświadcze</w:t>
            </w:r>
            <w:r>
              <w:rPr>
                <w:bCs/>
                <w:sz w:val="16"/>
                <w:szCs w:val="16"/>
              </w:rPr>
              <w:t>nia</w:t>
            </w:r>
            <w:r w:rsidRPr="009523F9">
              <w:rPr>
                <w:bCs/>
                <w:sz w:val="16"/>
                <w:szCs w:val="16"/>
              </w:rPr>
              <w:t xml:space="preserve"> o przeszkoleniu z zakresu ochrony informacji niejawnych</w:t>
            </w:r>
            <w:r>
              <w:rPr>
                <w:bCs/>
                <w:sz w:val="16"/>
                <w:szCs w:val="16"/>
              </w:rPr>
              <w:t>.</w:t>
            </w:r>
          </w:p>
        </w:tc>
        <w:tc>
          <w:tcPr>
            <w:tcW w:w="2977" w:type="dxa"/>
          </w:tcPr>
          <w:p w:rsidR="00B50F5D" w:rsidRDefault="00BC0439" w:rsidP="00BC0439">
            <w:pPr>
              <w:jc w:val="both"/>
              <w:rPr>
                <w:sz w:val="16"/>
                <w:szCs w:val="16"/>
              </w:rPr>
            </w:pPr>
            <w:r w:rsidRPr="00BC0439">
              <w:rPr>
                <w:sz w:val="16"/>
                <w:szCs w:val="16"/>
              </w:rPr>
              <w:lastRenderedPageBreak/>
              <w:t xml:space="preserve">1) </w:t>
            </w:r>
            <w:r w:rsidR="00B50F5D">
              <w:rPr>
                <w:sz w:val="16"/>
                <w:szCs w:val="16"/>
              </w:rPr>
              <w:t>W 8</w:t>
            </w:r>
            <w:r w:rsidRPr="00BC0439">
              <w:rPr>
                <w:sz w:val="16"/>
                <w:szCs w:val="16"/>
              </w:rPr>
              <w:t xml:space="preserve"> kartach opisu stanowiska pracy oraz opisach stanowiska pracy w punkcie „szczególne uprawnienia” (w kilku przypadkach brakuje również takiego </w:t>
            </w:r>
            <w:r w:rsidRPr="00BC0439">
              <w:rPr>
                <w:sz w:val="16"/>
                <w:szCs w:val="16"/>
              </w:rPr>
              <w:lastRenderedPageBreak/>
              <w:t>punktu) brak było określenia rodzaju poświadczenia bezpieczeństwa, jakim powinna dysponować osoba na danym stanowisku służbowym /zgodnie z Decyzją nr 1/2011 Małopolskiego Komendanta Wojewódzkiego Policji z dnia 3 stycznia 2011 roku w sprawie poziomu dostępu do informacji niejawnych policjantów i pracowników cywilnych zatrudnionych w Komendzie Wojewódzkiej Policji, oraz stanowisko Komendanta Głównego Policji                 z dnia 4 stycznia 2011 roku, a także z poleceniem Małopolskiego Komendanta Wojewódzkiego Policji z dnia 10.10.2011r. l.dz. AN-627/12/2011/</w:t>
            </w:r>
            <w:proofErr w:type="spellStart"/>
            <w:r w:rsidRPr="00BC0439">
              <w:rPr>
                <w:sz w:val="16"/>
                <w:szCs w:val="16"/>
              </w:rPr>
              <w:t>SzD</w:t>
            </w:r>
            <w:proofErr w:type="spellEnd"/>
            <w:r w:rsidRPr="00BC0439">
              <w:rPr>
                <w:sz w:val="16"/>
                <w:szCs w:val="16"/>
              </w:rPr>
              <w:t>/.</w:t>
            </w:r>
          </w:p>
          <w:p w:rsidR="00BC0439" w:rsidRPr="00BC0439" w:rsidRDefault="00BC0439" w:rsidP="00BC0439">
            <w:pPr>
              <w:jc w:val="both"/>
              <w:rPr>
                <w:sz w:val="16"/>
                <w:szCs w:val="16"/>
              </w:rPr>
            </w:pPr>
            <w:r w:rsidRPr="00BC0439">
              <w:rPr>
                <w:sz w:val="16"/>
                <w:szCs w:val="16"/>
              </w:rPr>
              <w:t xml:space="preserve"> </w:t>
            </w:r>
          </w:p>
          <w:p w:rsidR="00BC0439" w:rsidRPr="00BC0439" w:rsidRDefault="00BC0439" w:rsidP="00BC0439">
            <w:pPr>
              <w:jc w:val="both"/>
              <w:rPr>
                <w:sz w:val="16"/>
                <w:szCs w:val="16"/>
              </w:rPr>
            </w:pPr>
            <w:r w:rsidRPr="00BC0439">
              <w:rPr>
                <w:sz w:val="16"/>
                <w:szCs w:val="16"/>
              </w:rPr>
              <w:t xml:space="preserve">2) </w:t>
            </w:r>
            <w:r w:rsidR="00B50F5D">
              <w:rPr>
                <w:sz w:val="16"/>
                <w:szCs w:val="16"/>
              </w:rPr>
              <w:t>Jedna z pracownic</w:t>
            </w:r>
            <w:r w:rsidRPr="00BC0439">
              <w:rPr>
                <w:sz w:val="16"/>
                <w:szCs w:val="16"/>
              </w:rPr>
              <w:t xml:space="preserve"> posiadała niższe niż wymagane na jej stanowisku,</w:t>
            </w:r>
            <w:r w:rsidR="00B50F5D">
              <w:rPr>
                <w:sz w:val="16"/>
                <w:szCs w:val="16"/>
              </w:rPr>
              <w:t xml:space="preserve"> </w:t>
            </w:r>
            <w:r w:rsidRPr="00BC0439">
              <w:rPr>
                <w:sz w:val="16"/>
                <w:szCs w:val="16"/>
              </w:rPr>
              <w:t xml:space="preserve">poświadczenie bezpieczeństwa upoważniające do dostępu do informacji niejawnych o klauzuli „tajne”. </w:t>
            </w:r>
          </w:p>
          <w:p w:rsidR="00BC0439" w:rsidRPr="00BC0439" w:rsidRDefault="00BC0439" w:rsidP="00BC0439">
            <w:pPr>
              <w:jc w:val="both"/>
              <w:rPr>
                <w:sz w:val="16"/>
                <w:szCs w:val="16"/>
              </w:rPr>
            </w:pPr>
          </w:p>
          <w:p w:rsidR="00BC0439" w:rsidRPr="00BC0439" w:rsidRDefault="00BC0439" w:rsidP="00BC0439">
            <w:pPr>
              <w:jc w:val="both"/>
              <w:rPr>
                <w:sz w:val="16"/>
                <w:szCs w:val="16"/>
              </w:rPr>
            </w:pPr>
            <w:r w:rsidRPr="00BC0439">
              <w:rPr>
                <w:sz w:val="16"/>
                <w:szCs w:val="16"/>
              </w:rPr>
              <w:t xml:space="preserve">3) </w:t>
            </w:r>
            <w:r w:rsidR="00B50F5D">
              <w:rPr>
                <w:sz w:val="16"/>
                <w:szCs w:val="16"/>
              </w:rPr>
              <w:t>Jeden z pracowników</w:t>
            </w:r>
            <w:r w:rsidRPr="00BC0439">
              <w:rPr>
                <w:sz w:val="16"/>
                <w:szCs w:val="16"/>
              </w:rPr>
              <w:t xml:space="preserve"> zgodnie ze złożonym wnioskiem miał prowadzone poszerzone postępowanie sprawdzające dopuszczające do informacji niejawnych o klauzuli „ściśle tajne”, podczas gdy w karcie opisu stanowiska pracy w szczególnych uprawnieniach widniał dostęp do informacji o klauzuli „poufne”. </w:t>
            </w:r>
          </w:p>
          <w:p w:rsidR="00BC0439" w:rsidRPr="00BC0439" w:rsidRDefault="00BC0439" w:rsidP="00BC0439">
            <w:pPr>
              <w:jc w:val="both"/>
              <w:rPr>
                <w:sz w:val="16"/>
                <w:szCs w:val="16"/>
              </w:rPr>
            </w:pPr>
          </w:p>
          <w:p w:rsidR="00BC0439" w:rsidRPr="00BC0439" w:rsidRDefault="00BC0439" w:rsidP="00BC0439">
            <w:pPr>
              <w:jc w:val="both"/>
              <w:rPr>
                <w:sz w:val="16"/>
                <w:szCs w:val="16"/>
              </w:rPr>
            </w:pPr>
            <w:r w:rsidRPr="00BC0439">
              <w:rPr>
                <w:sz w:val="16"/>
                <w:szCs w:val="16"/>
              </w:rPr>
              <w:t xml:space="preserve">4) </w:t>
            </w:r>
            <w:r w:rsidR="00B50F5D">
              <w:rPr>
                <w:sz w:val="16"/>
                <w:szCs w:val="16"/>
              </w:rPr>
              <w:t>Jeden z pracowników</w:t>
            </w:r>
            <w:r w:rsidRPr="00BC0439">
              <w:rPr>
                <w:sz w:val="16"/>
                <w:szCs w:val="16"/>
              </w:rPr>
              <w:t xml:space="preserve"> nie posiadał odrębnego opisu stanowiska pracy, a jedynie podpisał</w:t>
            </w:r>
            <w:r w:rsidR="00311F3D">
              <w:rPr>
                <w:sz w:val="16"/>
                <w:szCs w:val="16"/>
              </w:rPr>
              <w:t xml:space="preserve"> s</w:t>
            </w:r>
            <w:r w:rsidRPr="00BC0439">
              <w:rPr>
                <w:sz w:val="16"/>
                <w:szCs w:val="16"/>
              </w:rPr>
              <w:t xml:space="preserve">ię w dniu 01.09.2016 roku na opisie stanowiska pracy </w:t>
            </w:r>
            <w:r w:rsidR="00B50F5D">
              <w:rPr>
                <w:sz w:val="16"/>
                <w:szCs w:val="16"/>
              </w:rPr>
              <w:t>innego pracownika.</w:t>
            </w:r>
          </w:p>
          <w:p w:rsidR="00BC0439" w:rsidRPr="00BC0439" w:rsidRDefault="00BC0439" w:rsidP="00BC0439">
            <w:pPr>
              <w:jc w:val="both"/>
              <w:rPr>
                <w:sz w:val="16"/>
                <w:szCs w:val="16"/>
              </w:rPr>
            </w:pPr>
          </w:p>
          <w:p w:rsidR="00A02319" w:rsidRPr="00BC0439" w:rsidRDefault="00BC0439" w:rsidP="009523F9">
            <w:pPr>
              <w:jc w:val="both"/>
              <w:rPr>
                <w:sz w:val="16"/>
                <w:szCs w:val="16"/>
              </w:rPr>
            </w:pPr>
            <w:r w:rsidRPr="00BC0439">
              <w:rPr>
                <w:sz w:val="16"/>
                <w:szCs w:val="16"/>
              </w:rPr>
              <w:t xml:space="preserve">5) </w:t>
            </w:r>
            <w:r w:rsidR="00B50F5D">
              <w:rPr>
                <w:sz w:val="16"/>
                <w:szCs w:val="16"/>
              </w:rPr>
              <w:t xml:space="preserve">3 </w:t>
            </w:r>
            <w:r w:rsidRPr="00BC0439">
              <w:rPr>
                <w:sz w:val="16"/>
                <w:szCs w:val="16"/>
              </w:rPr>
              <w:t>osoby posiadały poświadczenia bezpieczeństwa o klauzuli wyższej niż wymagane zgodnie z kartą opisu stanowiska pracy</w:t>
            </w:r>
            <w:r w:rsidR="00B50F5D">
              <w:rPr>
                <w:sz w:val="16"/>
                <w:szCs w:val="16"/>
              </w:rPr>
              <w:t>.</w:t>
            </w:r>
          </w:p>
        </w:tc>
        <w:tc>
          <w:tcPr>
            <w:tcW w:w="2693" w:type="dxa"/>
          </w:tcPr>
          <w:p w:rsidR="00A02319" w:rsidRDefault="00B50F5D" w:rsidP="0061651F">
            <w:pPr>
              <w:pStyle w:val="Akapitzlist"/>
              <w:spacing w:line="276" w:lineRule="auto"/>
              <w:ind w:left="0"/>
              <w:rPr>
                <w:sz w:val="16"/>
                <w:szCs w:val="16"/>
              </w:rPr>
            </w:pPr>
            <w:r w:rsidRPr="00B50F5D">
              <w:rPr>
                <w:sz w:val="16"/>
                <w:szCs w:val="16"/>
              </w:rPr>
              <w:lastRenderedPageBreak/>
              <w:t>1) przeanalizowanie kart opisu stanowiska, opis</w:t>
            </w:r>
            <w:r w:rsidR="001B4742">
              <w:rPr>
                <w:sz w:val="16"/>
                <w:szCs w:val="16"/>
              </w:rPr>
              <w:t>ów</w:t>
            </w:r>
            <w:r w:rsidRPr="00B50F5D">
              <w:rPr>
                <w:sz w:val="16"/>
                <w:szCs w:val="16"/>
              </w:rPr>
              <w:t xml:space="preserve"> stanowiska pracy lub zakres</w:t>
            </w:r>
            <w:r w:rsidR="001B4742">
              <w:rPr>
                <w:sz w:val="16"/>
                <w:szCs w:val="16"/>
              </w:rPr>
              <w:t>ów</w:t>
            </w:r>
            <w:r w:rsidRPr="00B50F5D">
              <w:rPr>
                <w:sz w:val="16"/>
                <w:szCs w:val="16"/>
              </w:rPr>
              <w:t xml:space="preserve"> obowiązków wszystkich </w:t>
            </w:r>
            <w:r>
              <w:rPr>
                <w:sz w:val="16"/>
                <w:szCs w:val="16"/>
              </w:rPr>
              <w:lastRenderedPageBreak/>
              <w:t>f-</w:t>
            </w:r>
            <w:proofErr w:type="spellStart"/>
            <w:r>
              <w:rPr>
                <w:sz w:val="16"/>
                <w:szCs w:val="16"/>
              </w:rPr>
              <w:t>szy</w:t>
            </w:r>
            <w:proofErr w:type="spellEnd"/>
            <w:r w:rsidRPr="00B50F5D">
              <w:rPr>
                <w:sz w:val="16"/>
                <w:szCs w:val="16"/>
              </w:rPr>
              <w:t xml:space="preserve"> i pracowników </w:t>
            </w:r>
            <w:proofErr w:type="spellStart"/>
            <w:r w:rsidRPr="00B50F5D">
              <w:rPr>
                <w:sz w:val="16"/>
                <w:szCs w:val="16"/>
              </w:rPr>
              <w:t>WŁiI</w:t>
            </w:r>
            <w:proofErr w:type="spellEnd"/>
            <w:r w:rsidRPr="00B50F5D">
              <w:rPr>
                <w:sz w:val="16"/>
                <w:szCs w:val="16"/>
              </w:rPr>
              <w:t xml:space="preserve"> - w </w:t>
            </w:r>
            <w:r w:rsidR="00311F3D">
              <w:rPr>
                <w:sz w:val="16"/>
                <w:szCs w:val="16"/>
              </w:rPr>
              <w:t>p</w:t>
            </w:r>
            <w:r w:rsidRPr="00B50F5D">
              <w:rPr>
                <w:sz w:val="16"/>
                <w:szCs w:val="16"/>
              </w:rPr>
              <w:t>unkcie „szczególne uprawnienia” wpisać  rodzaje poświadczenia bezpieczeństwa, jakim powinna dysponować osoba na danym stanowisku służbowym /zgodnie z Decyzją nr 1/2011 Małopolskiego Komendanta Wojewódzkiego Policji z dnia 3 stycznia 2011 roku w sprawie poziomu dostępu do informacji niejawnych policjantów                                i pracowników cywilnych zatrudnionych w Komendzie Wojewódzkiej Policji, oraz stanowiska Komendanta Głównego Policji z dnia 4 stycznia 2011 roku o sygn.                 Np.-21/2011, a także poleceniem Małopolskiego Komendanta Wojewódzkiego Policji z dnia 10.10.2011r., l.dz. AN-627/12/2011/</w:t>
            </w:r>
            <w:proofErr w:type="spellStart"/>
            <w:r w:rsidRPr="00B50F5D">
              <w:rPr>
                <w:sz w:val="16"/>
                <w:szCs w:val="16"/>
              </w:rPr>
              <w:t>SzD</w:t>
            </w:r>
            <w:proofErr w:type="spellEnd"/>
            <w:r w:rsidRPr="00B50F5D">
              <w:rPr>
                <w:sz w:val="16"/>
                <w:szCs w:val="16"/>
              </w:rPr>
              <w:t>/- wszyscy funkcjonariusze                          i pracownicy WŁiI winni posiadać poświadczenia bezpieczeństwa o klauzuli wskazanej w kartach opisu stanowiska pracy oraz opisie stanowiska pracy czy w zakresach obowiązków</w:t>
            </w:r>
            <w:r w:rsidR="00311F3D">
              <w:rPr>
                <w:sz w:val="16"/>
                <w:szCs w:val="16"/>
              </w:rPr>
              <w:t>.</w:t>
            </w:r>
          </w:p>
          <w:p w:rsidR="00311F3D" w:rsidRDefault="00311F3D" w:rsidP="0061651F">
            <w:pPr>
              <w:pStyle w:val="Akapitzlist"/>
              <w:spacing w:line="276" w:lineRule="auto"/>
              <w:ind w:left="0"/>
              <w:rPr>
                <w:sz w:val="16"/>
                <w:szCs w:val="16"/>
              </w:rPr>
            </w:pPr>
          </w:p>
          <w:p w:rsidR="00311F3D" w:rsidRDefault="00311F3D" w:rsidP="0061651F">
            <w:pPr>
              <w:pStyle w:val="Akapitzlist"/>
              <w:spacing w:line="276" w:lineRule="auto"/>
              <w:ind w:left="0"/>
              <w:rPr>
                <w:sz w:val="16"/>
                <w:szCs w:val="16"/>
              </w:rPr>
            </w:pPr>
            <w:r>
              <w:rPr>
                <w:sz w:val="16"/>
                <w:szCs w:val="16"/>
              </w:rPr>
              <w:t xml:space="preserve">2) Osobę, </w:t>
            </w:r>
            <w:r w:rsidRPr="00311F3D">
              <w:rPr>
                <w:sz w:val="16"/>
                <w:szCs w:val="16"/>
              </w:rPr>
              <w:t>której upłynął termin ważności poświadczenia bezpieczeństwa w dniu 04.06.2020r., przesunąć do wykonywania czynności służbowych, z dostępem                     do informacji niejawnych o klauzuli „poufne”</w:t>
            </w:r>
            <w:r>
              <w:rPr>
                <w:sz w:val="16"/>
                <w:szCs w:val="16"/>
              </w:rPr>
              <w:t>.</w:t>
            </w:r>
          </w:p>
          <w:p w:rsidR="00311F3D" w:rsidRDefault="00311F3D" w:rsidP="0061651F">
            <w:pPr>
              <w:pStyle w:val="Akapitzlist"/>
              <w:spacing w:line="276" w:lineRule="auto"/>
              <w:ind w:left="0"/>
              <w:rPr>
                <w:sz w:val="16"/>
                <w:szCs w:val="16"/>
              </w:rPr>
            </w:pPr>
          </w:p>
          <w:p w:rsidR="00311F3D" w:rsidRPr="00B50F5D" w:rsidRDefault="00311F3D" w:rsidP="0061651F">
            <w:pPr>
              <w:pStyle w:val="Akapitzlist"/>
              <w:spacing w:line="276" w:lineRule="auto"/>
              <w:ind w:left="0"/>
              <w:rPr>
                <w:sz w:val="16"/>
                <w:szCs w:val="16"/>
              </w:rPr>
            </w:pPr>
            <w:r>
              <w:rPr>
                <w:sz w:val="16"/>
                <w:szCs w:val="16"/>
              </w:rPr>
              <w:t>3)</w:t>
            </w:r>
            <w:r w:rsidR="009523F9">
              <w:rPr>
                <w:sz w:val="16"/>
                <w:szCs w:val="16"/>
              </w:rPr>
              <w:t>,</w:t>
            </w:r>
            <w:r>
              <w:rPr>
                <w:sz w:val="16"/>
                <w:szCs w:val="16"/>
              </w:rPr>
              <w:t xml:space="preserve"> 4)</w:t>
            </w:r>
            <w:r w:rsidR="009523F9">
              <w:rPr>
                <w:sz w:val="16"/>
                <w:szCs w:val="16"/>
              </w:rPr>
              <w:t xml:space="preserve"> i 5)</w:t>
            </w:r>
            <w:r>
              <w:rPr>
                <w:sz w:val="16"/>
                <w:szCs w:val="16"/>
              </w:rPr>
              <w:t xml:space="preserve"> </w:t>
            </w:r>
            <w:r w:rsidRPr="00311F3D">
              <w:rPr>
                <w:sz w:val="16"/>
                <w:szCs w:val="16"/>
              </w:rPr>
              <w:t xml:space="preserve">sporządzić </w:t>
            </w:r>
            <w:r>
              <w:rPr>
                <w:sz w:val="16"/>
                <w:szCs w:val="16"/>
              </w:rPr>
              <w:t>prawidłowe</w:t>
            </w:r>
            <w:r w:rsidRPr="00311F3D">
              <w:rPr>
                <w:sz w:val="16"/>
                <w:szCs w:val="16"/>
              </w:rPr>
              <w:t xml:space="preserve"> opis</w:t>
            </w:r>
            <w:r>
              <w:rPr>
                <w:sz w:val="16"/>
                <w:szCs w:val="16"/>
              </w:rPr>
              <w:t>y</w:t>
            </w:r>
            <w:r w:rsidRPr="00311F3D">
              <w:rPr>
                <w:sz w:val="16"/>
                <w:szCs w:val="16"/>
              </w:rPr>
              <w:t xml:space="preserve"> stanowiska pracy</w:t>
            </w:r>
            <w:r>
              <w:rPr>
                <w:sz w:val="16"/>
                <w:szCs w:val="16"/>
              </w:rPr>
              <w:t>.</w:t>
            </w:r>
          </w:p>
        </w:tc>
        <w:tc>
          <w:tcPr>
            <w:tcW w:w="1696" w:type="dxa"/>
            <w:vAlign w:val="center"/>
          </w:tcPr>
          <w:p w:rsidR="00A02319" w:rsidRPr="002754D8" w:rsidRDefault="002754D8" w:rsidP="002754D8">
            <w:pPr>
              <w:pStyle w:val="Akapitzlist"/>
              <w:spacing w:line="276" w:lineRule="auto"/>
              <w:ind w:left="0"/>
              <w:jc w:val="center"/>
              <w:rPr>
                <w:sz w:val="16"/>
                <w:szCs w:val="16"/>
              </w:rPr>
            </w:pPr>
            <w:r w:rsidRPr="002754D8">
              <w:rPr>
                <w:sz w:val="16"/>
                <w:szCs w:val="16"/>
              </w:rPr>
              <w:lastRenderedPageBreak/>
              <w:t>zrealizowane</w:t>
            </w:r>
          </w:p>
        </w:tc>
      </w:tr>
      <w:tr w:rsidR="002754D8" w:rsidRPr="00A02319" w:rsidTr="009C379B">
        <w:tc>
          <w:tcPr>
            <w:tcW w:w="1696" w:type="dxa"/>
          </w:tcPr>
          <w:p w:rsidR="002754D8" w:rsidRDefault="002754D8" w:rsidP="00A11AC9">
            <w:pPr>
              <w:pStyle w:val="Akapitzlist"/>
              <w:spacing w:line="276" w:lineRule="auto"/>
              <w:ind w:left="0"/>
              <w:rPr>
                <w:bCs/>
                <w:sz w:val="16"/>
                <w:szCs w:val="16"/>
              </w:rPr>
            </w:pPr>
            <w:r>
              <w:rPr>
                <w:bCs/>
                <w:sz w:val="16"/>
                <w:szCs w:val="16"/>
              </w:rPr>
              <w:lastRenderedPageBreak/>
              <w:t>S</w:t>
            </w:r>
            <w:r w:rsidRPr="002754D8">
              <w:rPr>
                <w:bCs/>
                <w:sz w:val="16"/>
                <w:szCs w:val="16"/>
              </w:rPr>
              <w:t>pos</w:t>
            </w:r>
            <w:r>
              <w:rPr>
                <w:bCs/>
                <w:sz w:val="16"/>
                <w:szCs w:val="16"/>
              </w:rPr>
              <w:t>ó</w:t>
            </w:r>
            <w:r w:rsidRPr="002754D8">
              <w:rPr>
                <w:bCs/>
                <w:sz w:val="16"/>
                <w:szCs w:val="16"/>
              </w:rPr>
              <w:t>b przetwarzania informacji niejawnych, w tym procedur</w:t>
            </w:r>
            <w:r>
              <w:rPr>
                <w:bCs/>
                <w:sz w:val="16"/>
                <w:szCs w:val="16"/>
              </w:rPr>
              <w:t>y</w:t>
            </w:r>
            <w:r w:rsidRPr="002754D8">
              <w:rPr>
                <w:bCs/>
                <w:sz w:val="16"/>
                <w:szCs w:val="16"/>
              </w:rPr>
              <w:t xml:space="preserve"> wytwarzania, terminowości rejestracji, przesyłania, przechowywania i archiwizowania dokumentów niejawnych za lata 2009-2020</w:t>
            </w:r>
          </w:p>
        </w:tc>
        <w:tc>
          <w:tcPr>
            <w:tcW w:w="2977" w:type="dxa"/>
          </w:tcPr>
          <w:p w:rsidR="002754D8" w:rsidRPr="009C379B" w:rsidRDefault="009C379B" w:rsidP="009C379B">
            <w:pPr>
              <w:jc w:val="both"/>
              <w:rPr>
                <w:sz w:val="16"/>
                <w:szCs w:val="16"/>
              </w:rPr>
            </w:pPr>
            <w:r w:rsidRPr="009C379B">
              <w:rPr>
                <w:sz w:val="16"/>
                <w:szCs w:val="16"/>
              </w:rPr>
              <w:t>1)</w:t>
            </w:r>
            <w:r>
              <w:rPr>
                <w:sz w:val="16"/>
                <w:szCs w:val="16"/>
              </w:rPr>
              <w:t xml:space="preserve"> </w:t>
            </w:r>
            <w:r w:rsidR="002754D8" w:rsidRPr="009C379B">
              <w:rPr>
                <w:sz w:val="16"/>
                <w:szCs w:val="16"/>
              </w:rPr>
              <w:t>Brak systematycznej archiwizacji dokumentów niejawnych.</w:t>
            </w:r>
          </w:p>
          <w:p w:rsidR="009C379B" w:rsidRPr="009C379B" w:rsidRDefault="009C379B" w:rsidP="009C379B"/>
          <w:p w:rsidR="002754D8" w:rsidRPr="002754D8" w:rsidRDefault="002754D8" w:rsidP="002754D8">
            <w:pPr>
              <w:jc w:val="both"/>
              <w:rPr>
                <w:sz w:val="16"/>
                <w:szCs w:val="16"/>
              </w:rPr>
            </w:pPr>
            <w:r>
              <w:rPr>
                <w:sz w:val="16"/>
                <w:szCs w:val="16"/>
              </w:rPr>
              <w:t xml:space="preserve">2) </w:t>
            </w:r>
            <w:r w:rsidRPr="002754D8">
              <w:rPr>
                <w:sz w:val="16"/>
                <w:szCs w:val="16"/>
              </w:rPr>
              <w:t xml:space="preserve">niewłaściwe miejsce przechowywania (w strefie ochronnej III) dokumentów i materiałów </w:t>
            </w:r>
            <w:r>
              <w:rPr>
                <w:sz w:val="16"/>
                <w:szCs w:val="16"/>
              </w:rPr>
              <w:t>n</w:t>
            </w:r>
            <w:r w:rsidRPr="002754D8">
              <w:rPr>
                <w:sz w:val="16"/>
                <w:szCs w:val="16"/>
              </w:rPr>
              <w:t>iejawnych o klauzuli „POUFNE” przez ich dysponentów</w:t>
            </w:r>
            <w:r>
              <w:rPr>
                <w:sz w:val="16"/>
                <w:szCs w:val="16"/>
              </w:rPr>
              <w:t>.</w:t>
            </w:r>
          </w:p>
          <w:p w:rsidR="002754D8" w:rsidRPr="002754D8" w:rsidRDefault="002754D8" w:rsidP="002754D8">
            <w:pPr>
              <w:jc w:val="center"/>
              <w:rPr>
                <w:sz w:val="16"/>
                <w:szCs w:val="16"/>
              </w:rPr>
            </w:pPr>
          </w:p>
        </w:tc>
        <w:tc>
          <w:tcPr>
            <w:tcW w:w="2693" w:type="dxa"/>
          </w:tcPr>
          <w:p w:rsidR="009C379B" w:rsidRPr="009C379B" w:rsidRDefault="009C379B" w:rsidP="009C379B">
            <w:pPr>
              <w:spacing w:line="276" w:lineRule="auto"/>
              <w:rPr>
                <w:sz w:val="16"/>
                <w:szCs w:val="16"/>
              </w:rPr>
            </w:pPr>
            <w:r w:rsidRPr="009C379B">
              <w:rPr>
                <w:sz w:val="16"/>
                <w:szCs w:val="16"/>
              </w:rPr>
              <w:t>1)</w:t>
            </w:r>
            <w:r>
              <w:rPr>
                <w:sz w:val="16"/>
                <w:szCs w:val="16"/>
              </w:rPr>
              <w:t xml:space="preserve"> </w:t>
            </w:r>
            <w:r w:rsidRPr="009C379B">
              <w:rPr>
                <w:sz w:val="16"/>
                <w:szCs w:val="16"/>
              </w:rPr>
              <w:t xml:space="preserve">zobligować podległych </w:t>
            </w:r>
            <w:r>
              <w:rPr>
                <w:sz w:val="16"/>
                <w:szCs w:val="16"/>
              </w:rPr>
              <w:t>f-</w:t>
            </w:r>
            <w:proofErr w:type="spellStart"/>
            <w:r>
              <w:rPr>
                <w:sz w:val="16"/>
                <w:szCs w:val="16"/>
              </w:rPr>
              <w:t>szy</w:t>
            </w:r>
            <w:proofErr w:type="spellEnd"/>
            <w:r w:rsidRPr="009C379B">
              <w:rPr>
                <w:sz w:val="16"/>
                <w:szCs w:val="16"/>
              </w:rPr>
              <w:t xml:space="preserve"> do bieżącej archiwizacji dokumentów niejawnych</w:t>
            </w:r>
            <w:r>
              <w:rPr>
                <w:sz w:val="16"/>
                <w:szCs w:val="16"/>
              </w:rPr>
              <w:t>.</w:t>
            </w:r>
          </w:p>
          <w:p w:rsidR="009C379B" w:rsidRDefault="009C379B" w:rsidP="0061651F">
            <w:pPr>
              <w:pStyle w:val="Akapitzlist"/>
              <w:spacing w:line="276" w:lineRule="auto"/>
              <w:ind w:left="0"/>
              <w:rPr>
                <w:sz w:val="16"/>
                <w:szCs w:val="16"/>
              </w:rPr>
            </w:pPr>
          </w:p>
          <w:p w:rsidR="002754D8" w:rsidRPr="00B50F5D" w:rsidRDefault="002754D8" w:rsidP="0061651F">
            <w:pPr>
              <w:pStyle w:val="Akapitzlist"/>
              <w:spacing w:line="276" w:lineRule="auto"/>
              <w:ind w:left="0"/>
              <w:rPr>
                <w:sz w:val="16"/>
                <w:szCs w:val="16"/>
              </w:rPr>
            </w:pPr>
            <w:r>
              <w:rPr>
                <w:sz w:val="16"/>
                <w:szCs w:val="16"/>
              </w:rPr>
              <w:t xml:space="preserve">2) </w:t>
            </w:r>
            <w:r w:rsidRPr="002754D8">
              <w:rPr>
                <w:sz w:val="16"/>
                <w:szCs w:val="16"/>
              </w:rPr>
              <w:t xml:space="preserve">zobligować dysponentów dokumentów niejawnych o klauzuli POUFNE do </w:t>
            </w:r>
            <w:r w:rsidR="009C379B">
              <w:rPr>
                <w:sz w:val="16"/>
                <w:szCs w:val="16"/>
              </w:rPr>
              <w:t>przechowywania</w:t>
            </w:r>
            <w:r w:rsidRPr="002754D8">
              <w:rPr>
                <w:sz w:val="16"/>
                <w:szCs w:val="16"/>
              </w:rPr>
              <w:t xml:space="preserve"> ich w strefie ochronnej II</w:t>
            </w:r>
            <w:r w:rsidR="009C379B">
              <w:rPr>
                <w:sz w:val="16"/>
                <w:szCs w:val="16"/>
              </w:rPr>
              <w:t>.</w:t>
            </w:r>
          </w:p>
        </w:tc>
        <w:tc>
          <w:tcPr>
            <w:tcW w:w="1696" w:type="dxa"/>
            <w:vAlign w:val="center"/>
          </w:tcPr>
          <w:p w:rsidR="002754D8" w:rsidRPr="002754D8" w:rsidRDefault="009C379B" w:rsidP="002754D8">
            <w:pPr>
              <w:pStyle w:val="Akapitzlist"/>
              <w:spacing w:line="276" w:lineRule="auto"/>
              <w:ind w:left="0"/>
              <w:jc w:val="center"/>
              <w:rPr>
                <w:sz w:val="16"/>
                <w:szCs w:val="16"/>
              </w:rPr>
            </w:pPr>
            <w:r>
              <w:rPr>
                <w:sz w:val="16"/>
                <w:szCs w:val="16"/>
              </w:rPr>
              <w:t>zrealizowane</w:t>
            </w:r>
          </w:p>
        </w:tc>
      </w:tr>
      <w:tr w:rsidR="00FF3970" w:rsidRPr="00A02319" w:rsidTr="009C379B">
        <w:tc>
          <w:tcPr>
            <w:tcW w:w="1696" w:type="dxa"/>
          </w:tcPr>
          <w:p w:rsidR="00FF3970" w:rsidRDefault="00FF3970" w:rsidP="00A11AC9">
            <w:pPr>
              <w:pStyle w:val="Akapitzlist"/>
              <w:spacing w:line="276" w:lineRule="auto"/>
              <w:ind w:left="0"/>
              <w:rPr>
                <w:bCs/>
                <w:sz w:val="16"/>
                <w:szCs w:val="16"/>
              </w:rPr>
            </w:pPr>
            <w:r>
              <w:rPr>
                <w:bCs/>
                <w:sz w:val="16"/>
                <w:szCs w:val="16"/>
              </w:rPr>
              <w:t>U</w:t>
            </w:r>
            <w:r w:rsidRPr="009523F9">
              <w:rPr>
                <w:bCs/>
                <w:sz w:val="16"/>
                <w:szCs w:val="16"/>
              </w:rPr>
              <w:t>regulowa</w:t>
            </w:r>
            <w:r>
              <w:rPr>
                <w:bCs/>
                <w:sz w:val="16"/>
                <w:szCs w:val="16"/>
              </w:rPr>
              <w:t xml:space="preserve">nia </w:t>
            </w:r>
            <w:r w:rsidRPr="009523F9">
              <w:rPr>
                <w:bCs/>
                <w:sz w:val="16"/>
                <w:szCs w:val="16"/>
              </w:rPr>
              <w:t>organizacyjno - etatow</w:t>
            </w:r>
            <w:r>
              <w:rPr>
                <w:bCs/>
                <w:sz w:val="16"/>
                <w:szCs w:val="16"/>
              </w:rPr>
              <w:t>e</w:t>
            </w:r>
            <w:r w:rsidRPr="009523F9">
              <w:rPr>
                <w:bCs/>
                <w:sz w:val="16"/>
                <w:szCs w:val="16"/>
              </w:rPr>
              <w:t xml:space="preserve"> w Wydziale </w:t>
            </w:r>
            <w:r>
              <w:rPr>
                <w:bCs/>
                <w:sz w:val="16"/>
                <w:szCs w:val="16"/>
              </w:rPr>
              <w:t>dw. z Cyberprzestępczością</w:t>
            </w:r>
            <w:r w:rsidRPr="009523F9">
              <w:rPr>
                <w:bCs/>
                <w:sz w:val="16"/>
                <w:szCs w:val="16"/>
              </w:rPr>
              <w:t xml:space="preserve">  KWP w Krakowie, w tym zakres</w:t>
            </w:r>
            <w:r>
              <w:rPr>
                <w:bCs/>
                <w:sz w:val="16"/>
                <w:szCs w:val="16"/>
              </w:rPr>
              <w:t>y</w:t>
            </w:r>
            <w:r w:rsidRPr="009523F9">
              <w:rPr>
                <w:bCs/>
                <w:sz w:val="16"/>
                <w:szCs w:val="16"/>
              </w:rPr>
              <w:t xml:space="preserve"> obowiązków i poświadcze</w:t>
            </w:r>
            <w:r>
              <w:rPr>
                <w:bCs/>
                <w:sz w:val="16"/>
                <w:szCs w:val="16"/>
              </w:rPr>
              <w:t xml:space="preserve">nia </w:t>
            </w:r>
            <w:r w:rsidRPr="009523F9">
              <w:rPr>
                <w:bCs/>
                <w:sz w:val="16"/>
                <w:szCs w:val="16"/>
              </w:rPr>
              <w:t>bezpieczeństwa oraz zaświadcze</w:t>
            </w:r>
            <w:r>
              <w:rPr>
                <w:bCs/>
                <w:sz w:val="16"/>
                <w:szCs w:val="16"/>
              </w:rPr>
              <w:t>nia</w:t>
            </w:r>
            <w:r w:rsidRPr="009523F9">
              <w:rPr>
                <w:bCs/>
                <w:sz w:val="16"/>
                <w:szCs w:val="16"/>
              </w:rPr>
              <w:t xml:space="preserve"> o przeszkoleniu z zakresu ochrony informacji niejawnych</w:t>
            </w:r>
            <w:r>
              <w:rPr>
                <w:bCs/>
                <w:sz w:val="16"/>
                <w:szCs w:val="16"/>
              </w:rPr>
              <w:t>.</w:t>
            </w:r>
          </w:p>
        </w:tc>
        <w:tc>
          <w:tcPr>
            <w:tcW w:w="2977" w:type="dxa"/>
          </w:tcPr>
          <w:p w:rsidR="00FF3970" w:rsidRPr="00FF3970" w:rsidRDefault="00FF3970" w:rsidP="00FF3970">
            <w:pPr>
              <w:jc w:val="both"/>
              <w:rPr>
                <w:sz w:val="16"/>
                <w:szCs w:val="16"/>
              </w:rPr>
            </w:pPr>
            <w:r w:rsidRPr="00FF3970">
              <w:rPr>
                <w:sz w:val="16"/>
                <w:szCs w:val="16"/>
              </w:rPr>
              <w:t>1)</w:t>
            </w:r>
            <w:r>
              <w:rPr>
                <w:sz w:val="16"/>
                <w:szCs w:val="16"/>
              </w:rPr>
              <w:t xml:space="preserve"> </w:t>
            </w:r>
            <w:r w:rsidR="001B4742">
              <w:rPr>
                <w:sz w:val="16"/>
                <w:szCs w:val="16"/>
              </w:rPr>
              <w:t>W 8</w:t>
            </w:r>
            <w:r w:rsidRPr="00FF3970">
              <w:rPr>
                <w:sz w:val="16"/>
                <w:szCs w:val="16"/>
              </w:rPr>
              <w:t xml:space="preserve"> kartach opisu stanowiska pracy oraz opisach stanowiska pracy w punkcie „szczególne uprawnienia” brak było określenia rodzaju poświadczenia bezpieczeństwa, jakim powinna dysponować osoba na danym stanowisku służbowym /zgodnie z Decyzją nr 1/2011 Małopolskiego Komendanta Wojewódzkiego Policji                  z dnia 3 stycznia 2011 roku w sprawie poziomu dostępu do informacji niejawnych policjantów i pracowników cywilnych zatrudnionych w Komendzie Wojewódzkiej Policji, oraz stanowisko Komendanta Głównego Policji z dnia 4 stycznia 2011 roku/.</w:t>
            </w:r>
          </w:p>
          <w:p w:rsidR="00FF3970" w:rsidRPr="00FF3970" w:rsidRDefault="00FF3970" w:rsidP="00FF3970">
            <w:pPr>
              <w:ind w:firstLine="708"/>
              <w:rPr>
                <w:sz w:val="16"/>
                <w:szCs w:val="16"/>
              </w:rPr>
            </w:pPr>
          </w:p>
        </w:tc>
        <w:tc>
          <w:tcPr>
            <w:tcW w:w="2693" w:type="dxa"/>
          </w:tcPr>
          <w:p w:rsidR="00FF3970" w:rsidRPr="009C379B" w:rsidRDefault="001B4742" w:rsidP="009C379B">
            <w:pPr>
              <w:spacing w:line="276" w:lineRule="auto"/>
              <w:rPr>
                <w:sz w:val="16"/>
                <w:szCs w:val="16"/>
              </w:rPr>
            </w:pPr>
            <w:r>
              <w:rPr>
                <w:sz w:val="16"/>
                <w:szCs w:val="16"/>
              </w:rPr>
              <w:t>1) P</w:t>
            </w:r>
            <w:r w:rsidRPr="001B4742">
              <w:rPr>
                <w:sz w:val="16"/>
                <w:szCs w:val="16"/>
              </w:rPr>
              <w:t>rzeanalizowanie kart opisu stanowiska, opisów stanowiska pracy wszystkich funkcjonariuszy Wydziału dw. z Cyberprzestępczością - w punkcie „szczególne uprawnienia” określić rodzaj poświadczenia bezpieczeństwa, jakim powinna dysponować osoba na danym stanowisku służbowym.</w:t>
            </w:r>
          </w:p>
        </w:tc>
        <w:tc>
          <w:tcPr>
            <w:tcW w:w="1696" w:type="dxa"/>
            <w:vAlign w:val="center"/>
          </w:tcPr>
          <w:p w:rsidR="00FF3970" w:rsidRDefault="001B4742" w:rsidP="002754D8">
            <w:pPr>
              <w:pStyle w:val="Akapitzlist"/>
              <w:spacing w:line="276" w:lineRule="auto"/>
              <w:ind w:left="0"/>
              <w:jc w:val="center"/>
              <w:rPr>
                <w:sz w:val="16"/>
                <w:szCs w:val="16"/>
              </w:rPr>
            </w:pPr>
            <w:r>
              <w:rPr>
                <w:sz w:val="16"/>
                <w:szCs w:val="16"/>
              </w:rPr>
              <w:t>zrealizowane</w:t>
            </w:r>
          </w:p>
        </w:tc>
      </w:tr>
      <w:tr w:rsidR="001B4742" w:rsidRPr="00A02319" w:rsidTr="009C379B">
        <w:tc>
          <w:tcPr>
            <w:tcW w:w="1696" w:type="dxa"/>
          </w:tcPr>
          <w:p w:rsidR="001B4742" w:rsidRDefault="001B4742" w:rsidP="00A11AC9">
            <w:pPr>
              <w:pStyle w:val="Akapitzlist"/>
              <w:spacing w:line="276" w:lineRule="auto"/>
              <w:ind w:left="0"/>
              <w:rPr>
                <w:bCs/>
                <w:sz w:val="16"/>
                <w:szCs w:val="16"/>
              </w:rPr>
            </w:pPr>
            <w:r>
              <w:rPr>
                <w:bCs/>
                <w:sz w:val="16"/>
                <w:szCs w:val="16"/>
              </w:rPr>
              <w:t>S</w:t>
            </w:r>
            <w:r w:rsidRPr="002754D8">
              <w:rPr>
                <w:bCs/>
                <w:sz w:val="16"/>
                <w:szCs w:val="16"/>
              </w:rPr>
              <w:t>pos</w:t>
            </w:r>
            <w:r>
              <w:rPr>
                <w:bCs/>
                <w:sz w:val="16"/>
                <w:szCs w:val="16"/>
              </w:rPr>
              <w:t>ó</w:t>
            </w:r>
            <w:r w:rsidRPr="002754D8">
              <w:rPr>
                <w:bCs/>
                <w:sz w:val="16"/>
                <w:szCs w:val="16"/>
              </w:rPr>
              <w:t xml:space="preserve">b przetwarzania informacji niejawnych, w tym </w:t>
            </w:r>
            <w:r w:rsidRPr="002754D8">
              <w:rPr>
                <w:bCs/>
                <w:sz w:val="16"/>
                <w:szCs w:val="16"/>
              </w:rPr>
              <w:lastRenderedPageBreak/>
              <w:t>procedur</w:t>
            </w:r>
            <w:r>
              <w:rPr>
                <w:bCs/>
                <w:sz w:val="16"/>
                <w:szCs w:val="16"/>
              </w:rPr>
              <w:t>y</w:t>
            </w:r>
            <w:r w:rsidRPr="002754D8">
              <w:rPr>
                <w:bCs/>
                <w:sz w:val="16"/>
                <w:szCs w:val="16"/>
              </w:rPr>
              <w:t xml:space="preserve"> wytwarzania, terminowości rejestracji, przesyłania, przechowywania i archiwizowania dokumentów niejawnych za lata </w:t>
            </w:r>
            <w:r>
              <w:rPr>
                <w:bCs/>
                <w:sz w:val="16"/>
                <w:szCs w:val="16"/>
              </w:rPr>
              <w:t>2014</w:t>
            </w:r>
            <w:r w:rsidRPr="002754D8">
              <w:rPr>
                <w:bCs/>
                <w:sz w:val="16"/>
                <w:szCs w:val="16"/>
              </w:rPr>
              <w:t>-2020</w:t>
            </w:r>
          </w:p>
        </w:tc>
        <w:tc>
          <w:tcPr>
            <w:tcW w:w="2977" w:type="dxa"/>
          </w:tcPr>
          <w:p w:rsidR="001B4742" w:rsidRDefault="001B4742" w:rsidP="00FF3970">
            <w:pPr>
              <w:jc w:val="both"/>
              <w:rPr>
                <w:sz w:val="16"/>
                <w:szCs w:val="16"/>
              </w:rPr>
            </w:pPr>
            <w:r>
              <w:rPr>
                <w:sz w:val="16"/>
                <w:szCs w:val="16"/>
              </w:rPr>
              <w:lastRenderedPageBreak/>
              <w:t xml:space="preserve">1) </w:t>
            </w:r>
            <w:r w:rsidR="00F015C0" w:rsidRPr="001B4742">
              <w:rPr>
                <w:sz w:val="16"/>
                <w:szCs w:val="16"/>
              </w:rPr>
              <w:t>Brak wpisów dotyczących nr teczki (RTO), do którego włączono odebran</w:t>
            </w:r>
            <w:r>
              <w:rPr>
                <w:sz w:val="16"/>
                <w:szCs w:val="16"/>
              </w:rPr>
              <w:t>e</w:t>
            </w:r>
            <w:r w:rsidR="00F015C0" w:rsidRPr="001B4742">
              <w:rPr>
                <w:sz w:val="16"/>
                <w:szCs w:val="16"/>
              </w:rPr>
              <w:t xml:space="preserve"> dokumenty niejawne</w:t>
            </w:r>
            <w:r>
              <w:rPr>
                <w:sz w:val="16"/>
                <w:szCs w:val="16"/>
              </w:rPr>
              <w:t>.</w:t>
            </w:r>
          </w:p>
          <w:p w:rsidR="001B4742" w:rsidRDefault="001B4742" w:rsidP="00FF3970">
            <w:pPr>
              <w:jc w:val="both"/>
              <w:rPr>
                <w:sz w:val="16"/>
                <w:szCs w:val="16"/>
              </w:rPr>
            </w:pPr>
          </w:p>
          <w:p w:rsidR="001B4742" w:rsidRDefault="001B4742" w:rsidP="00FF3970">
            <w:pPr>
              <w:jc w:val="both"/>
              <w:rPr>
                <w:sz w:val="16"/>
                <w:szCs w:val="16"/>
              </w:rPr>
            </w:pPr>
            <w:r>
              <w:rPr>
                <w:sz w:val="16"/>
                <w:szCs w:val="16"/>
              </w:rPr>
              <w:lastRenderedPageBreak/>
              <w:t xml:space="preserve">2) </w:t>
            </w:r>
            <w:r w:rsidR="00F015C0" w:rsidRPr="001B4742">
              <w:rPr>
                <w:sz w:val="16"/>
                <w:szCs w:val="16"/>
              </w:rPr>
              <w:t>Brak pod ostatnim wpisem w urządzeniach ewidencyjnych informacji na jakiej pozycji zakończono dziennik</w:t>
            </w:r>
            <w:r>
              <w:rPr>
                <w:sz w:val="16"/>
                <w:szCs w:val="16"/>
              </w:rPr>
              <w:t>.</w:t>
            </w:r>
          </w:p>
          <w:p w:rsidR="001B4742" w:rsidRDefault="001B4742" w:rsidP="00FF3970">
            <w:pPr>
              <w:jc w:val="both"/>
              <w:rPr>
                <w:sz w:val="16"/>
                <w:szCs w:val="16"/>
              </w:rPr>
            </w:pPr>
          </w:p>
          <w:p w:rsidR="001B4742" w:rsidRDefault="001B4742" w:rsidP="00FF3970">
            <w:pPr>
              <w:jc w:val="both"/>
              <w:rPr>
                <w:sz w:val="16"/>
                <w:szCs w:val="16"/>
              </w:rPr>
            </w:pPr>
            <w:r>
              <w:rPr>
                <w:sz w:val="16"/>
                <w:szCs w:val="16"/>
              </w:rPr>
              <w:t xml:space="preserve">3) </w:t>
            </w:r>
            <w:r w:rsidR="00F015C0" w:rsidRPr="001B4742">
              <w:rPr>
                <w:sz w:val="16"/>
                <w:szCs w:val="16"/>
              </w:rPr>
              <w:t>RDEiT prowadzony od 5 kwietnia 2020</w:t>
            </w:r>
            <w:r w:rsidR="00F43879">
              <w:rPr>
                <w:sz w:val="16"/>
                <w:szCs w:val="16"/>
              </w:rPr>
              <w:t>r</w:t>
            </w:r>
            <w:r w:rsidR="00F015C0" w:rsidRPr="001B4742">
              <w:rPr>
                <w:sz w:val="16"/>
                <w:szCs w:val="16"/>
              </w:rPr>
              <w:t>., nie przeszyto, stron                             nie ponumerowano. Ponadto brak czytelnych podpisów osób odbierających zaewidencjonowane teczki</w:t>
            </w:r>
            <w:r w:rsidR="00F43879">
              <w:rPr>
                <w:sz w:val="16"/>
                <w:szCs w:val="16"/>
              </w:rPr>
              <w:t>.</w:t>
            </w:r>
          </w:p>
          <w:p w:rsidR="00F43879" w:rsidRDefault="00F43879" w:rsidP="00FF3970">
            <w:pPr>
              <w:jc w:val="both"/>
              <w:rPr>
                <w:sz w:val="16"/>
                <w:szCs w:val="16"/>
              </w:rPr>
            </w:pPr>
          </w:p>
          <w:p w:rsidR="00F43879" w:rsidRPr="00FF3970" w:rsidRDefault="00F43879" w:rsidP="00FF3970">
            <w:pPr>
              <w:jc w:val="both"/>
              <w:rPr>
                <w:sz w:val="16"/>
                <w:szCs w:val="16"/>
              </w:rPr>
            </w:pPr>
            <w:r>
              <w:rPr>
                <w:sz w:val="16"/>
                <w:szCs w:val="16"/>
              </w:rPr>
              <w:t>4)</w:t>
            </w:r>
            <w:r w:rsidRPr="00F43879">
              <w:rPr>
                <w:rFonts w:eastAsia="Times New Roman"/>
                <w:szCs w:val="24"/>
                <w:lang w:eastAsia="pl-PL"/>
              </w:rPr>
              <w:t xml:space="preserve"> </w:t>
            </w:r>
            <w:r w:rsidRPr="00F43879">
              <w:rPr>
                <w:sz w:val="16"/>
                <w:szCs w:val="16"/>
              </w:rPr>
              <w:t xml:space="preserve">Dziennik podawczy szyfrofaksów nie przeszyto, nie ponumerowano stron,                na ostatniej stronie brak zakończenia dziennika. Ponadto brak czytelnych podpisów osób odbierających/nadających szyfrowaksy jak również brak godziny odbioru/nadania </w:t>
            </w:r>
            <w:r>
              <w:rPr>
                <w:sz w:val="16"/>
                <w:szCs w:val="16"/>
              </w:rPr>
              <w:t>szyfrofaksów.</w:t>
            </w:r>
          </w:p>
        </w:tc>
        <w:tc>
          <w:tcPr>
            <w:tcW w:w="2693" w:type="dxa"/>
          </w:tcPr>
          <w:p w:rsidR="001B4742" w:rsidRDefault="00F43879" w:rsidP="009C379B">
            <w:pPr>
              <w:spacing w:line="276" w:lineRule="auto"/>
              <w:rPr>
                <w:sz w:val="16"/>
                <w:szCs w:val="16"/>
              </w:rPr>
            </w:pPr>
            <w:r>
              <w:rPr>
                <w:sz w:val="16"/>
                <w:szCs w:val="16"/>
              </w:rPr>
              <w:lastRenderedPageBreak/>
              <w:t>Z</w:t>
            </w:r>
            <w:r w:rsidRPr="00F43879">
              <w:rPr>
                <w:sz w:val="16"/>
                <w:szCs w:val="16"/>
              </w:rPr>
              <w:t xml:space="preserve">obligowanie pracownika „sekretariatu do przetwarzania informacji niejawnych dla </w:t>
            </w:r>
            <w:r w:rsidRPr="00F43879">
              <w:rPr>
                <w:sz w:val="16"/>
                <w:szCs w:val="16"/>
              </w:rPr>
              <w:lastRenderedPageBreak/>
              <w:t>dokumentów oznaczonych klauzulą „poufne” i „zastrzeżone” Wydziału do Spraw Zwalczania Przestępczości Pseudokibiców KWP w Krakowie, który prowadzi ewidencję dokumentów niejawnych dla Wydziału dw. z Cyberprzestępczością                   KWP w Krakowie do:</w:t>
            </w:r>
          </w:p>
          <w:p w:rsidR="00F43879" w:rsidRPr="00F43879" w:rsidRDefault="00F43879" w:rsidP="00F43879">
            <w:pPr>
              <w:spacing w:line="276" w:lineRule="auto"/>
              <w:rPr>
                <w:sz w:val="16"/>
                <w:szCs w:val="16"/>
              </w:rPr>
            </w:pPr>
            <w:r w:rsidRPr="00F43879">
              <w:rPr>
                <w:sz w:val="16"/>
                <w:szCs w:val="16"/>
              </w:rPr>
              <w:t>a)</w:t>
            </w:r>
            <w:r>
              <w:rPr>
                <w:sz w:val="16"/>
                <w:szCs w:val="16"/>
              </w:rPr>
              <w:t xml:space="preserve"> </w:t>
            </w:r>
            <w:r w:rsidRPr="00F43879">
              <w:rPr>
                <w:sz w:val="16"/>
                <w:szCs w:val="16"/>
              </w:rPr>
              <w:t>uzupełnienia wpisów dotyczących nr teczki (RTO) do której dołączono dokument;</w:t>
            </w:r>
          </w:p>
          <w:p w:rsidR="00F43879" w:rsidRDefault="00F43879" w:rsidP="00F43879">
            <w:pPr>
              <w:spacing w:line="276" w:lineRule="auto"/>
              <w:rPr>
                <w:sz w:val="16"/>
                <w:szCs w:val="16"/>
              </w:rPr>
            </w:pPr>
            <w:r w:rsidRPr="00F43879">
              <w:rPr>
                <w:sz w:val="16"/>
                <w:szCs w:val="16"/>
              </w:rPr>
              <w:t>b)</w:t>
            </w:r>
            <w:r>
              <w:rPr>
                <w:sz w:val="16"/>
                <w:szCs w:val="16"/>
              </w:rPr>
              <w:t xml:space="preserve"> </w:t>
            </w:r>
            <w:r w:rsidRPr="00F43879">
              <w:rPr>
                <w:sz w:val="16"/>
                <w:szCs w:val="16"/>
              </w:rPr>
              <w:t>sprowadzenia i oznaczenia oraz zakończenia wszystkich urządzeń ewidencyjnych zgodnie z § 22 Zarządzeniem nr 2020 KGP z dnia 30.12.2010r. w sprawie szczególnego sposobu organizacji i funkcjonowania kancelarii tajnych (…) z późn. zm.</w:t>
            </w:r>
          </w:p>
        </w:tc>
        <w:tc>
          <w:tcPr>
            <w:tcW w:w="1696" w:type="dxa"/>
            <w:vAlign w:val="center"/>
          </w:tcPr>
          <w:p w:rsidR="001B4742" w:rsidRDefault="00F43879" w:rsidP="002754D8">
            <w:pPr>
              <w:pStyle w:val="Akapitzlist"/>
              <w:spacing w:line="276" w:lineRule="auto"/>
              <w:ind w:left="0"/>
              <w:jc w:val="center"/>
              <w:rPr>
                <w:sz w:val="16"/>
                <w:szCs w:val="16"/>
              </w:rPr>
            </w:pPr>
            <w:r>
              <w:rPr>
                <w:sz w:val="16"/>
                <w:szCs w:val="16"/>
              </w:rPr>
              <w:lastRenderedPageBreak/>
              <w:t>zrealizowano</w:t>
            </w:r>
          </w:p>
        </w:tc>
      </w:tr>
      <w:tr w:rsidR="00F43879" w:rsidRPr="00A02319" w:rsidTr="009C379B">
        <w:tc>
          <w:tcPr>
            <w:tcW w:w="1696" w:type="dxa"/>
          </w:tcPr>
          <w:p w:rsidR="00F43879" w:rsidRDefault="00F015C0" w:rsidP="00A11AC9">
            <w:pPr>
              <w:pStyle w:val="Akapitzlist"/>
              <w:spacing w:line="276" w:lineRule="auto"/>
              <w:ind w:left="0"/>
              <w:rPr>
                <w:bCs/>
                <w:sz w:val="16"/>
                <w:szCs w:val="16"/>
              </w:rPr>
            </w:pPr>
            <w:r>
              <w:rPr>
                <w:bCs/>
                <w:sz w:val="16"/>
                <w:szCs w:val="16"/>
              </w:rPr>
              <w:lastRenderedPageBreak/>
              <w:t>Stan ochrony fizycznej pomieszczeń.</w:t>
            </w:r>
          </w:p>
        </w:tc>
        <w:tc>
          <w:tcPr>
            <w:tcW w:w="2977" w:type="dxa"/>
          </w:tcPr>
          <w:p w:rsidR="00F43879" w:rsidRDefault="00F015C0" w:rsidP="00FF3970">
            <w:pPr>
              <w:jc w:val="both"/>
              <w:rPr>
                <w:sz w:val="16"/>
                <w:szCs w:val="16"/>
              </w:rPr>
            </w:pPr>
            <w:r>
              <w:rPr>
                <w:sz w:val="16"/>
                <w:szCs w:val="16"/>
              </w:rPr>
              <w:t>1) W</w:t>
            </w:r>
            <w:r w:rsidRPr="00F43879">
              <w:rPr>
                <w:sz w:val="16"/>
                <w:szCs w:val="16"/>
              </w:rPr>
              <w:t xml:space="preserve"> drzwiach wejściowych do budynku</w:t>
            </w:r>
            <w:r>
              <w:rPr>
                <w:sz w:val="16"/>
                <w:szCs w:val="16"/>
              </w:rPr>
              <w:t xml:space="preserve"> „11”</w:t>
            </w:r>
            <w:r w:rsidRPr="00F43879">
              <w:rPr>
                <w:sz w:val="16"/>
                <w:szCs w:val="16"/>
              </w:rPr>
              <w:t>, objętych SKD, zamontowano obustronnie klamki, pozwalające na otwarcie drzwi z pominięciem SKD</w:t>
            </w:r>
            <w:r>
              <w:rPr>
                <w:sz w:val="16"/>
                <w:szCs w:val="16"/>
              </w:rPr>
              <w:t>.</w:t>
            </w:r>
          </w:p>
          <w:p w:rsidR="00F015C0" w:rsidRDefault="00F015C0" w:rsidP="00FF3970">
            <w:pPr>
              <w:jc w:val="both"/>
              <w:rPr>
                <w:sz w:val="16"/>
                <w:szCs w:val="16"/>
              </w:rPr>
            </w:pPr>
          </w:p>
          <w:p w:rsidR="00F015C0" w:rsidRDefault="00F015C0" w:rsidP="00FF3970">
            <w:pPr>
              <w:jc w:val="both"/>
              <w:rPr>
                <w:sz w:val="16"/>
                <w:szCs w:val="16"/>
              </w:rPr>
            </w:pPr>
            <w:r>
              <w:rPr>
                <w:sz w:val="16"/>
                <w:szCs w:val="16"/>
              </w:rPr>
              <w:t xml:space="preserve">2) Drugie </w:t>
            </w:r>
            <w:r w:rsidRPr="00F015C0">
              <w:rPr>
                <w:sz w:val="16"/>
                <w:szCs w:val="16"/>
              </w:rPr>
              <w:t>drzwi wejściowe do budynku „11” (bez SKD) pozostawały niezamknięte na klucz</w:t>
            </w:r>
            <w:r>
              <w:rPr>
                <w:sz w:val="16"/>
                <w:szCs w:val="16"/>
              </w:rPr>
              <w:t>.</w:t>
            </w:r>
          </w:p>
          <w:p w:rsidR="00F015C0" w:rsidRDefault="00F015C0" w:rsidP="00FF3970">
            <w:pPr>
              <w:jc w:val="both"/>
              <w:rPr>
                <w:sz w:val="16"/>
                <w:szCs w:val="16"/>
              </w:rPr>
            </w:pPr>
          </w:p>
          <w:p w:rsidR="00F015C0" w:rsidRDefault="00F015C0" w:rsidP="00FF3970">
            <w:pPr>
              <w:jc w:val="both"/>
              <w:rPr>
                <w:sz w:val="16"/>
                <w:szCs w:val="16"/>
              </w:rPr>
            </w:pPr>
            <w:r>
              <w:rPr>
                <w:sz w:val="16"/>
                <w:szCs w:val="16"/>
              </w:rPr>
              <w:t>3) L</w:t>
            </w:r>
            <w:r w:rsidRPr="00F015C0">
              <w:rPr>
                <w:sz w:val="16"/>
                <w:szCs w:val="16"/>
              </w:rPr>
              <w:t xml:space="preserve">okalizacja w budynku „11” sali konferencyjnej (pom. nr 73) powodowało konieczność nieregularnego korzystania z wejścia przez osoby spoza Wydziału           dw. z Cyberprzestępczością oraz Wydziału </w:t>
            </w:r>
            <w:r>
              <w:rPr>
                <w:sz w:val="16"/>
                <w:szCs w:val="16"/>
              </w:rPr>
              <w:t xml:space="preserve">ds. </w:t>
            </w:r>
            <w:r w:rsidRPr="00F015C0">
              <w:rPr>
                <w:sz w:val="16"/>
                <w:szCs w:val="16"/>
              </w:rPr>
              <w:t>Zwalczania Przestępczości Pseudokibiców</w:t>
            </w:r>
            <w:r>
              <w:rPr>
                <w:sz w:val="16"/>
                <w:szCs w:val="16"/>
              </w:rPr>
              <w:t>.</w:t>
            </w:r>
          </w:p>
        </w:tc>
        <w:tc>
          <w:tcPr>
            <w:tcW w:w="2693" w:type="dxa"/>
          </w:tcPr>
          <w:p w:rsidR="00F43879" w:rsidRDefault="00F43879" w:rsidP="00F43879">
            <w:pPr>
              <w:spacing w:line="276" w:lineRule="auto"/>
              <w:rPr>
                <w:sz w:val="16"/>
                <w:szCs w:val="16"/>
              </w:rPr>
            </w:pPr>
            <w:r>
              <w:rPr>
                <w:sz w:val="16"/>
                <w:szCs w:val="16"/>
              </w:rPr>
              <w:t>1) W</w:t>
            </w:r>
            <w:r w:rsidRPr="00F43879">
              <w:rPr>
                <w:sz w:val="16"/>
                <w:szCs w:val="16"/>
              </w:rPr>
              <w:t xml:space="preserve"> drzwiach wejściowych do budynku nr 11, objętych systemem SKD - zablokować możliwość otwierania drzwi za pomocą klamki</w:t>
            </w:r>
            <w:r>
              <w:rPr>
                <w:sz w:val="16"/>
                <w:szCs w:val="16"/>
              </w:rPr>
              <w:t>.</w:t>
            </w:r>
          </w:p>
          <w:p w:rsidR="00F43879" w:rsidRPr="00F43879" w:rsidRDefault="00F43879" w:rsidP="00F43879">
            <w:pPr>
              <w:spacing w:line="276" w:lineRule="auto"/>
              <w:rPr>
                <w:sz w:val="16"/>
                <w:szCs w:val="16"/>
              </w:rPr>
            </w:pPr>
          </w:p>
          <w:p w:rsidR="00F43879" w:rsidRDefault="00F43879" w:rsidP="00F43879">
            <w:pPr>
              <w:spacing w:line="276" w:lineRule="auto"/>
              <w:rPr>
                <w:sz w:val="16"/>
                <w:szCs w:val="16"/>
              </w:rPr>
            </w:pPr>
            <w:r>
              <w:rPr>
                <w:sz w:val="16"/>
                <w:szCs w:val="16"/>
              </w:rPr>
              <w:t>2) D</w:t>
            </w:r>
            <w:r w:rsidRPr="00F43879">
              <w:rPr>
                <w:sz w:val="16"/>
                <w:szCs w:val="16"/>
              </w:rPr>
              <w:t>rugie drzwi wejściowe do budynku nr 11, nie objęte systemem SKD – zamknąć na stałe, umożliwiając jednocześnie dostęp do kluczy w sytuacjach awaryjnych, do czasu instalacji systemu SKD oraz po uzyskaniu pozytywnej opinii eksperta do spraw przeciwpożarowych</w:t>
            </w:r>
            <w:r>
              <w:rPr>
                <w:sz w:val="16"/>
                <w:szCs w:val="16"/>
              </w:rPr>
              <w:t>.</w:t>
            </w:r>
          </w:p>
          <w:p w:rsidR="00F43879" w:rsidRPr="00F43879" w:rsidRDefault="00F43879" w:rsidP="00F43879">
            <w:pPr>
              <w:spacing w:line="276" w:lineRule="auto"/>
              <w:rPr>
                <w:sz w:val="16"/>
                <w:szCs w:val="16"/>
              </w:rPr>
            </w:pPr>
          </w:p>
          <w:p w:rsidR="00F43879" w:rsidRDefault="00F43879" w:rsidP="00F43879">
            <w:pPr>
              <w:spacing w:line="276" w:lineRule="auto"/>
              <w:rPr>
                <w:sz w:val="16"/>
                <w:szCs w:val="16"/>
              </w:rPr>
            </w:pPr>
            <w:r>
              <w:rPr>
                <w:sz w:val="16"/>
                <w:szCs w:val="16"/>
              </w:rPr>
              <w:t>3) U</w:t>
            </w:r>
            <w:r w:rsidRPr="00F43879">
              <w:rPr>
                <w:sz w:val="16"/>
                <w:szCs w:val="16"/>
              </w:rPr>
              <w:t xml:space="preserve">względnić podczas najbliższego przewidzianego remontu wydzielenie odrębnego wejścia do pomieszczenia nr 73 w budynku nr 11 , celem </w:t>
            </w:r>
            <w:r>
              <w:rPr>
                <w:sz w:val="16"/>
                <w:szCs w:val="16"/>
              </w:rPr>
              <w:t>odseparowania</w:t>
            </w:r>
            <w:r w:rsidRPr="00F43879">
              <w:rPr>
                <w:sz w:val="16"/>
                <w:szCs w:val="16"/>
              </w:rPr>
              <w:t xml:space="preserve"> ruchu osób z poza komórek organizacyjnych KWP w Krakowie zajmujących budynek nr 11.</w:t>
            </w:r>
          </w:p>
        </w:tc>
        <w:tc>
          <w:tcPr>
            <w:tcW w:w="1696" w:type="dxa"/>
            <w:vAlign w:val="center"/>
          </w:tcPr>
          <w:p w:rsidR="00F43879" w:rsidRDefault="00F015C0" w:rsidP="002754D8">
            <w:pPr>
              <w:pStyle w:val="Akapitzlist"/>
              <w:spacing w:line="276" w:lineRule="auto"/>
              <w:ind w:left="0"/>
              <w:jc w:val="center"/>
              <w:rPr>
                <w:sz w:val="16"/>
                <w:szCs w:val="16"/>
              </w:rPr>
            </w:pPr>
            <w:r>
              <w:rPr>
                <w:sz w:val="16"/>
                <w:szCs w:val="16"/>
              </w:rPr>
              <w:t>realizowane</w:t>
            </w:r>
          </w:p>
        </w:tc>
      </w:tr>
    </w:tbl>
    <w:p w:rsidR="00D828BD" w:rsidRDefault="00A02319" w:rsidP="0061651F">
      <w:pPr>
        <w:pStyle w:val="Akapitzlist"/>
        <w:spacing w:line="276" w:lineRule="auto"/>
        <w:ind w:left="0"/>
      </w:pPr>
      <w:r>
        <w:rPr>
          <w:rStyle w:val="Odwoanieprzypisudolnego"/>
        </w:rPr>
        <w:t>*</w:t>
      </w:r>
      <w:r w:rsidRPr="003C213E">
        <w:rPr>
          <w:sz w:val="16"/>
          <w:szCs w:val="16"/>
        </w:rPr>
        <w:t xml:space="preserve"> </w:t>
      </w:r>
      <w:r w:rsidRPr="003C213E">
        <w:rPr>
          <w:b/>
          <w:sz w:val="16"/>
          <w:szCs w:val="16"/>
        </w:rPr>
        <w:t>Znaczące zalecenie/wniosek/rekomendacja</w:t>
      </w:r>
      <w:r w:rsidRPr="003C213E">
        <w:rPr>
          <w:sz w:val="16"/>
          <w:szCs w:val="16"/>
        </w:rPr>
        <w:t xml:space="preserve"> – brak realizacji skutkuje utrzymaniem stanu </w:t>
      </w:r>
      <w:r w:rsidRPr="003C213E">
        <w:rPr>
          <w:sz w:val="16"/>
          <w:szCs w:val="16"/>
          <w:u w:val="single"/>
        </w:rPr>
        <w:t>nieprawidłowości</w:t>
      </w:r>
      <w:r w:rsidRPr="003C213E">
        <w:rPr>
          <w:sz w:val="16"/>
          <w:szCs w:val="16"/>
        </w:rPr>
        <w:t xml:space="preserve"> – tj. działania lub zaniechania działania, które w świetle kryteriów oceny należałoby uznać np. za nielegalne, niegospodarne, niecelowe, nierzetelne, niewydajne, nieskuteczne lub niezgodne z przyjętym programem lub polityką Rządu. Do tej grupy zaliczyć należy również takie zalecenie/wniosek/rekomendację, którego celem nie jest usunięcie nieprawidłowości, ale wprowadzenie </w:t>
      </w:r>
      <w:r w:rsidRPr="003C213E">
        <w:rPr>
          <w:sz w:val="16"/>
          <w:szCs w:val="16"/>
          <w:u w:val="single"/>
        </w:rPr>
        <w:t>istotnej zmiany w działalności</w:t>
      </w:r>
      <w:r w:rsidRPr="003C213E">
        <w:rPr>
          <w:sz w:val="16"/>
          <w:szCs w:val="16"/>
        </w:rPr>
        <w:t xml:space="preserve"> jednostki kontrolowanej.</w:t>
      </w:r>
    </w:p>
    <w:p w:rsidR="00531E39" w:rsidRDefault="00531E39" w:rsidP="0061651F">
      <w:pPr>
        <w:pStyle w:val="Akapitzlist"/>
        <w:spacing w:line="276" w:lineRule="auto"/>
        <w:ind w:left="0"/>
      </w:pPr>
    </w:p>
    <w:p w:rsidR="008208D5" w:rsidRDefault="008208D5" w:rsidP="008208D5">
      <w:pPr>
        <w:pStyle w:val="Akapitzlist"/>
        <w:spacing w:line="276" w:lineRule="auto"/>
        <w:ind w:left="0" w:firstLine="360"/>
        <w:jc w:val="both"/>
        <w:rPr>
          <w:b/>
        </w:rPr>
      </w:pPr>
      <w:r w:rsidRPr="00013C4F">
        <w:rPr>
          <w:rFonts w:eastAsia="Calibri"/>
          <w:szCs w:val="24"/>
        </w:rPr>
        <w:t xml:space="preserve">Kontrolerzy </w:t>
      </w:r>
      <w:r>
        <w:rPr>
          <w:rFonts w:eastAsia="Calibri"/>
          <w:szCs w:val="24"/>
        </w:rPr>
        <w:t xml:space="preserve">WOINiA </w:t>
      </w:r>
      <w:r w:rsidRPr="00013C4F">
        <w:rPr>
          <w:rFonts w:eastAsia="Calibri"/>
          <w:szCs w:val="24"/>
        </w:rPr>
        <w:t>KWP w Krakowie nie stwierdzili istotnych nieprawidłowości, które skutkowałyby sformułowaniem kluczowych (krytycznych) zaleceń pokontrolnych.</w:t>
      </w:r>
    </w:p>
    <w:p w:rsidR="008208D5" w:rsidRDefault="008208D5" w:rsidP="0061651F">
      <w:pPr>
        <w:pStyle w:val="Akapitzlist"/>
        <w:spacing w:line="276" w:lineRule="auto"/>
        <w:ind w:left="0"/>
        <w:rPr>
          <w:b/>
        </w:rPr>
      </w:pPr>
    </w:p>
    <w:p w:rsidR="00946D10" w:rsidRDefault="00946D10" w:rsidP="008208D5">
      <w:pPr>
        <w:pStyle w:val="Akapitzlist"/>
        <w:numPr>
          <w:ilvl w:val="0"/>
          <w:numId w:val="3"/>
        </w:numPr>
        <w:spacing w:line="276" w:lineRule="auto"/>
        <w:rPr>
          <w:b/>
        </w:rPr>
      </w:pPr>
      <w:r w:rsidRPr="00946D10">
        <w:rPr>
          <w:b/>
        </w:rPr>
        <w:t>Efekty zrealizowanych kontroli.</w:t>
      </w:r>
    </w:p>
    <w:p w:rsidR="00946D10" w:rsidRDefault="00946D10" w:rsidP="0061651F">
      <w:pPr>
        <w:pStyle w:val="Akapitzlist"/>
        <w:spacing w:line="276" w:lineRule="auto"/>
        <w:ind w:left="0"/>
        <w:rPr>
          <w:b/>
        </w:rPr>
      </w:pPr>
    </w:p>
    <w:p w:rsidR="00946D10" w:rsidRDefault="00946D10" w:rsidP="002903B5">
      <w:pPr>
        <w:pStyle w:val="Akapitzlist"/>
        <w:spacing w:line="276" w:lineRule="auto"/>
        <w:ind w:left="0" w:firstLine="708"/>
        <w:jc w:val="both"/>
      </w:pPr>
      <w:r>
        <w:t xml:space="preserve">Zalecenia i wnioski pokontrolne formułowane przez funkcjonariuszy Wydziału Ochrony Informacji Niejawnych i Archiwum </w:t>
      </w:r>
      <w:r w:rsidR="00872C0B">
        <w:t xml:space="preserve">zatwierdzał Komendant Wojewódzki Policji </w:t>
      </w:r>
      <w:r w:rsidR="003B05F6">
        <w:br/>
      </w:r>
      <w:r w:rsidR="00872C0B">
        <w:t>w Kr</w:t>
      </w:r>
      <w:r w:rsidR="00D90A0F">
        <w:t>akowie</w:t>
      </w:r>
      <w:r w:rsidR="00CA198C">
        <w:t>. Ich efektem była poprawa sposobu zarz</w:t>
      </w:r>
      <w:r w:rsidR="00BE6587">
        <w:t>ą</w:t>
      </w:r>
      <w:r w:rsidR="00CA198C">
        <w:t>dzania systemem ochrony informacji niejawnych oraz usunięcie stwierdzonych w toku kontr</w:t>
      </w:r>
      <w:r w:rsidR="003B05F6">
        <w:t>oli uchybień i nieprawidłowoś</w:t>
      </w:r>
      <w:r w:rsidR="007D05A3">
        <w:t>ci</w:t>
      </w:r>
      <w:r w:rsidR="003B05F6">
        <w:t xml:space="preserve"> związ</w:t>
      </w:r>
      <w:r w:rsidR="00BE6587">
        <w:t>anych z postępowaniem z dokumentami niejawnymi</w:t>
      </w:r>
      <w:r w:rsidR="00937138">
        <w:t>, funkcjonowaniem stanowisk komputerowych do przetwarzania informacji niejawnych</w:t>
      </w:r>
      <w:r w:rsidR="004C663C">
        <w:t xml:space="preserve"> oraz działalnością archiwalną</w:t>
      </w:r>
      <w:r w:rsidR="003B05F6">
        <w:t>.</w:t>
      </w:r>
    </w:p>
    <w:p w:rsidR="00CA198C" w:rsidRDefault="007D05A3" w:rsidP="0061651F">
      <w:pPr>
        <w:pStyle w:val="Akapitzlist"/>
        <w:spacing w:line="276" w:lineRule="auto"/>
        <w:ind w:left="0"/>
        <w:jc w:val="both"/>
      </w:pPr>
      <w:r>
        <w:tab/>
      </w:r>
    </w:p>
    <w:p w:rsidR="00470523" w:rsidRDefault="00470523" w:rsidP="002903B5">
      <w:pPr>
        <w:pStyle w:val="Akapitzlist"/>
        <w:numPr>
          <w:ilvl w:val="0"/>
          <w:numId w:val="3"/>
        </w:numPr>
        <w:spacing w:line="276" w:lineRule="auto"/>
        <w:jc w:val="both"/>
        <w:rPr>
          <w:b/>
        </w:rPr>
      </w:pPr>
      <w:r w:rsidRPr="00470523">
        <w:rPr>
          <w:b/>
        </w:rPr>
        <w:t>Liczba niezrealizowanych kontroli w roku sprawozdawczym.</w:t>
      </w:r>
    </w:p>
    <w:p w:rsidR="00470523" w:rsidRDefault="00470523" w:rsidP="0061651F">
      <w:pPr>
        <w:pStyle w:val="Akapitzlist"/>
        <w:spacing w:line="276" w:lineRule="auto"/>
        <w:ind w:left="0"/>
        <w:jc w:val="both"/>
        <w:rPr>
          <w:b/>
        </w:rPr>
      </w:pPr>
    </w:p>
    <w:p w:rsidR="00243E02" w:rsidRDefault="00470523" w:rsidP="003E5AE1">
      <w:pPr>
        <w:pStyle w:val="Akapitzlist"/>
        <w:spacing w:line="276" w:lineRule="auto"/>
        <w:ind w:left="0"/>
        <w:jc w:val="both"/>
      </w:pPr>
      <w:r>
        <w:tab/>
      </w:r>
      <w:r w:rsidR="002903B5">
        <w:t xml:space="preserve">Kontrolerzy WOINiA </w:t>
      </w:r>
      <w:r>
        <w:t xml:space="preserve">KWP w Krakowie </w:t>
      </w:r>
      <w:r w:rsidR="00937138">
        <w:t xml:space="preserve">nie </w:t>
      </w:r>
      <w:r>
        <w:t>przeprowadzi</w:t>
      </w:r>
      <w:r w:rsidR="002903B5">
        <w:t>li</w:t>
      </w:r>
      <w:r>
        <w:t xml:space="preserve"> </w:t>
      </w:r>
      <w:r w:rsidR="002903B5">
        <w:t>trzech</w:t>
      </w:r>
      <w:r>
        <w:t xml:space="preserve"> zaplanowa</w:t>
      </w:r>
      <w:r w:rsidR="00D828BD">
        <w:t>n</w:t>
      </w:r>
      <w:r w:rsidR="002903B5">
        <w:t>ych</w:t>
      </w:r>
      <w:r w:rsidR="00D828BD">
        <w:t xml:space="preserve"> na </w:t>
      </w:r>
      <w:r w:rsidR="00D828BD">
        <w:lastRenderedPageBreak/>
        <w:t xml:space="preserve">rok </w:t>
      </w:r>
      <w:r w:rsidR="00EE0470">
        <w:t xml:space="preserve"> </w:t>
      </w:r>
      <w:r w:rsidR="002903B5">
        <w:t>2020</w:t>
      </w:r>
      <w:r w:rsidR="00D828BD">
        <w:t xml:space="preserve"> kontrol</w:t>
      </w:r>
      <w:r w:rsidR="00EE0470">
        <w:t>i</w:t>
      </w:r>
      <w:r w:rsidR="002903B5">
        <w:t xml:space="preserve">: </w:t>
      </w:r>
    </w:p>
    <w:p w:rsidR="002903B5" w:rsidRDefault="002903B5" w:rsidP="00243E02">
      <w:pPr>
        <w:pStyle w:val="Akapitzlist"/>
        <w:numPr>
          <w:ilvl w:val="0"/>
          <w:numId w:val="10"/>
        </w:numPr>
        <w:spacing w:line="276" w:lineRule="auto"/>
        <w:jc w:val="both"/>
      </w:pPr>
      <w:r w:rsidRPr="002903B5">
        <w:t xml:space="preserve">stanowiska </w:t>
      </w:r>
      <w:r w:rsidR="00243E02">
        <w:t>SNP</w:t>
      </w:r>
      <w:r w:rsidRPr="002903B5">
        <w:t xml:space="preserve"> znajdującego się na terenie własnego Wydziału</w:t>
      </w:r>
      <w:r w:rsidR="00243E02">
        <w:t xml:space="preserve"> - o</w:t>
      </w:r>
      <w:r w:rsidRPr="002903B5">
        <w:t>d kontroli odstąpiono ze względu na bezpośredni i stały nadzór nad stanowiskiem przez inspektorów BTI.</w:t>
      </w:r>
      <w:r w:rsidR="00EE0470">
        <w:t xml:space="preserve"> </w:t>
      </w:r>
    </w:p>
    <w:p w:rsidR="002903B5" w:rsidRPr="00243E02" w:rsidRDefault="00243E02" w:rsidP="00243E02">
      <w:pPr>
        <w:pStyle w:val="Akapitzlist"/>
        <w:numPr>
          <w:ilvl w:val="0"/>
          <w:numId w:val="10"/>
        </w:numPr>
        <w:jc w:val="both"/>
        <w:rPr>
          <w:rFonts w:eastAsiaTheme="minorHAnsi"/>
          <w:sz w:val="22"/>
          <w:lang w:eastAsia="en-US"/>
        </w:rPr>
      </w:pPr>
      <w:r>
        <w:t xml:space="preserve">w zakresie realizacji zagadnień wynikających z przepisów dotyczących metod i form wykonywania zadań z zakresu działalności archiwalnej w Policji w KPP Oświęcim oraz KMP Nowy Sącz – od kontroli odstąpiono z uwagi na zagrożenie sanitarno-epidemiologiczne wisusem </w:t>
      </w:r>
      <w:proofErr w:type="spellStart"/>
      <w:r>
        <w:t>Sars</w:t>
      </w:r>
      <w:proofErr w:type="spellEnd"/>
      <w:r>
        <w:t xml:space="preserve"> - </w:t>
      </w:r>
      <w:proofErr w:type="spellStart"/>
      <w:r>
        <w:t>Cov</w:t>
      </w:r>
      <w:proofErr w:type="spellEnd"/>
      <w:r>
        <w:t xml:space="preserve"> -2.</w:t>
      </w:r>
      <w:r>
        <w:rPr>
          <w:rFonts w:eastAsiaTheme="minorHAnsi"/>
          <w:sz w:val="22"/>
          <w:lang w:eastAsia="en-US"/>
        </w:rPr>
        <w:t xml:space="preserve"> K</w:t>
      </w:r>
      <w:r>
        <w:t xml:space="preserve">ontrole w/wymienionych jednostek zostały ujęte w </w:t>
      </w:r>
      <w:r w:rsidRPr="00243E02">
        <w:rPr>
          <w:i/>
        </w:rPr>
        <w:t xml:space="preserve">Planie Kontroli  Wydziału Ochrony Informacji Niejawnych i Archiwum KWP </w:t>
      </w:r>
      <w:r>
        <w:rPr>
          <w:i/>
        </w:rPr>
        <w:br/>
      </w:r>
      <w:r w:rsidRPr="00243E02">
        <w:rPr>
          <w:i/>
        </w:rPr>
        <w:t>w Krakowie na rok 2021</w:t>
      </w:r>
      <w:r>
        <w:t xml:space="preserve"> i zatwierdzone przez Komendanta Wojewódzkiego Policji </w:t>
      </w:r>
      <w:r>
        <w:br/>
        <w:t>w Krakowie.</w:t>
      </w:r>
    </w:p>
    <w:p w:rsidR="00243E02" w:rsidRPr="00243E02" w:rsidRDefault="00243E02" w:rsidP="00243E02">
      <w:pPr>
        <w:jc w:val="both"/>
        <w:rPr>
          <w:rFonts w:eastAsiaTheme="minorHAnsi"/>
          <w:sz w:val="22"/>
          <w:lang w:eastAsia="en-US"/>
        </w:rPr>
      </w:pPr>
    </w:p>
    <w:p w:rsidR="00B314DE" w:rsidRDefault="00603129" w:rsidP="003E5AE1">
      <w:pPr>
        <w:pStyle w:val="Akapitzlist"/>
        <w:spacing w:line="276" w:lineRule="auto"/>
        <w:ind w:left="0"/>
        <w:jc w:val="both"/>
      </w:pPr>
      <w:r>
        <w:t>Pozostałe kontrole zostały p</w:t>
      </w:r>
      <w:r w:rsidR="00EE0470">
        <w:t>rzeprowadzone zgodnie z planem.</w:t>
      </w:r>
    </w:p>
    <w:p w:rsidR="00243E02" w:rsidRDefault="00243E02" w:rsidP="003E5AE1">
      <w:pPr>
        <w:pStyle w:val="Akapitzlist"/>
        <w:spacing w:line="276" w:lineRule="auto"/>
        <w:ind w:left="0"/>
        <w:jc w:val="both"/>
        <w:rPr>
          <w:b/>
        </w:rPr>
      </w:pPr>
    </w:p>
    <w:p w:rsidR="00C5740E" w:rsidRDefault="00B314DE" w:rsidP="003E5AE1">
      <w:pPr>
        <w:spacing w:line="276" w:lineRule="auto"/>
        <w:jc w:val="both"/>
        <w:rPr>
          <w:rFonts w:eastAsia="Times New Roman"/>
          <w:sz w:val="20"/>
          <w:lang w:eastAsia="pl-PL"/>
        </w:rPr>
      </w:pPr>
      <w:r>
        <w:rPr>
          <w:b/>
        </w:rPr>
        <w:tab/>
      </w:r>
      <w:r w:rsidRPr="00B314DE">
        <w:t>Zgodnie z art. 6 ust. 1 pkt 4a ustawy z dnia 6 września 2001</w:t>
      </w:r>
      <w:r>
        <w:t xml:space="preserve"> roku o </w:t>
      </w:r>
      <w:r w:rsidRPr="005D470C">
        <w:rPr>
          <w:i/>
        </w:rPr>
        <w:t xml:space="preserve">dostępie </w:t>
      </w:r>
      <w:r w:rsidR="003E5AE1">
        <w:rPr>
          <w:i/>
        </w:rPr>
        <w:t xml:space="preserve">                       </w:t>
      </w:r>
      <w:r w:rsidRPr="005D470C">
        <w:rPr>
          <w:i/>
        </w:rPr>
        <w:t xml:space="preserve">do informacji publicznej </w:t>
      </w:r>
      <w:r w:rsidR="008A6F60">
        <w:t xml:space="preserve">oraz wytycznymi Kancelarii Prezesa Rady Ministrów z dnia </w:t>
      </w:r>
      <w:r w:rsidR="002903B5">
        <w:br/>
      </w:r>
      <w:r w:rsidR="008A6F60">
        <w:t>31</w:t>
      </w:r>
      <w:r>
        <w:t xml:space="preserve"> </w:t>
      </w:r>
      <w:r w:rsidR="008A6F60">
        <w:t>sierpnia 2017</w:t>
      </w:r>
      <w:r>
        <w:t xml:space="preserve"> roku </w:t>
      </w:r>
      <w:r w:rsidRPr="00B314DE">
        <w:rPr>
          <w:i/>
        </w:rPr>
        <w:t>Standardy kontroli w administracji rządowej</w:t>
      </w:r>
      <w:r>
        <w:t xml:space="preserve"> wyniki kontroli prowadzonych przez Wydział Ochrony Informacji Niejawnych i Archiwum</w:t>
      </w:r>
      <w:r w:rsidR="005D470C">
        <w:t xml:space="preserve"> KWP</w:t>
      </w:r>
      <w:r w:rsidR="002903B5">
        <w:t xml:space="preserve"> </w:t>
      </w:r>
      <w:r w:rsidR="005D470C">
        <w:t xml:space="preserve">w Krakowie są zawarte </w:t>
      </w:r>
      <w:r w:rsidR="003E5AE1">
        <w:t xml:space="preserve"> </w:t>
      </w:r>
      <w:r w:rsidR="005D470C">
        <w:t xml:space="preserve">w rocznym sprawozdaniu z działalności kontrolnej, </w:t>
      </w:r>
      <w:r w:rsidR="003B05F6">
        <w:t xml:space="preserve">publikowanym </w:t>
      </w:r>
      <w:r w:rsidR="003E5AE1">
        <w:t xml:space="preserve"> </w:t>
      </w:r>
      <w:r w:rsidR="003B05F6">
        <w:t>w Biuletynie Informacji Publicznej Komendy Wojewódzkiej Policji w Krakowie.</w:t>
      </w:r>
    </w:p>
    <w:p w:rsidR="00C5740E" w:rsidRDefault="00C5740E" w:rsidP="003E5AE1">
      <w:pPr>
        <w:widowControl/>
        <w:suppressAutoHyphens w:val="0"/>
        <w:spacing w:line="276" w:lineRule="auto"/>
        <w:ind w:hanging="11"/>
        <w:jc w:val="both"/>
        <w:rPr>
          <w:rFonts w:eastAsia="Times New Roman"/>
          <w:sz w:val="20"/>
          <w:lang w:eastAsia="pl-PL"/>
        </w:rPr>
      </w:pPr>
    </w:p>
    <w:p w:rsidR="00F806E7" w:rsidRDefault="00F806E7" w:rsidP="007A213D">
      <w:pPr>
        <w:widowControl/>
        <w:suppressAutoHyphens w:val="0"/>
        <w:spacing w:line="276" w:lineRule="auto"/>
        <w:ind w:hanging="11"/>
        <w:jc w:val="both"/>
        <w:rPr>
          <w:rFonts w:eastAsia="Times New Roman"/>
          <w:sz w:val="20"/>
          <w:lang w:eastAsia="pl-PL"/>
        </w:rPr>
      </w:pPr>
    </w:p>
    <w:p w:rsidR="00F806E7" w:rsidRDefault="00F806E7" w:rsidP="007A213D">
      <w:pPr>
        <w:widowControl/>
        <w:suppressAutoHyphens w:val="0"/>
        <w:spacing w:line="276" w:lineRule="auto"/>
        <w:ind w:hanging="11"/>
        <w:jc w:val="both"/>
        <w:rPr>
          <w:rFonts w:eastAsia="Times New Roman"/>
          <w:sz w:val="20"/>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F015C0" w:rsidRDefault="00F015C0" w:rsidP="007A213D">
      <w:pPr>
        <w:widowControl/>
        <w:suppressAutoHyphens w:val="0"/>
        <w:spacing w:line="276" w:lineRule="auto"/>
        <w:ind w:hanging="11"/>
        <w:jc w:val="both"/>
        <w:rPr>
          <w:rFonts w:eastAsia="Times New Roman"/>
          <w:sz w:val="16"/>
          <w:lang w:eastAsia="pl-PL"/>
        </w:rPr>
      </w:pPr>
    </w:p>
    <w:p w:rsidR="00D828BD" w:rsidRPr="00BD4567" w:rsidRDefault="00C5740E" w:rsidP="007A213D">
      <w:pPr>
        <w:widowControl/>
        <w:suppressAutoHyphens w:val="0"/>
        <w:spacing w:line="276" w:lineRule="auto"/>
        <w:ind w:hanging="11"/>
        <w:jc w:val="both"/>
        <w:rPr>
          <w:rFonts w:eastAsia="Times New Roman"/>
          <w:sz w:val="16"/>
          <w:lang w:eastAsia="pl-PL"/>
        </w:rPr>
      </w:pPr>
      <w:r w:rsidRPr="00BD4567">
        <w:rPr>
          <w:rFonts w:eastAsia="Times New Roman"/>
          <w:sz w:val="16"/>
          <w:lang w:eastAsia="pl-PL"/>
        </w:rPr>
        <w:t>Wyk</w:t>
      </w:r>
      <w:r w:rsidR="007A213D" w:rsidRPr="00BD4567">
        <w:rPr>
          <w:rFonts w:eastAsia="Times New Roman"/>
          <w:sz w:val="16"/>
          <w:lang w:eastAsia="pl-PL"/>
        </w:rPr>
        <w:t>. 2 egz.</w:t>
      </w:r>
    </w:p>
    <w:p w:rsidR="007A213D" w:rsidRPr="00BD4567" w:rsidRDefault="007A213D" w:rsidP="007A213D">
      <w:pPr>
        <w:widowControl/>
        <w:suppressAutoHyphens w:val="0"/>
        <w:spacing w:line="276" w:lineRule="auto"/>
        <w:ind w:hanging="11"/>
        <w:jc w:val="both"/>
        <w:rPr>
          <w:rFonts w:eastAsia="Times New Roman"/>
          <w:sz w:val="16"/>
          <w:lang w:eastAsia="pl-PL"/>
        </w:rPr>
      </w:pPr>
      <w:r w:rsidRPr="00BD4567">
        <w:rPr>
          <w:rFonts w:eastAsia="Times New Roman"/>
          <w:sz w:val="16"/>
          <w:lang w:eastAsia="pl-PL"/>
        </w:rPr>
        <w:t>1 egz. BBI KGP</w:t>
      </w:r>
    </w:p>
    <w:p w:rsidR="00D828BD" w:rsidRPr="00BD4567" w:rsidRDefault="007A213D" w:rsidP="00C5740E">
      <w:pPr>
        <w:widowControl/>
        <w:suppressAutoHyphens w:val="0"/>
        <w:spacing w:line="276" w:lineRule="auto"/>
        <w:ind w:hanging="11"/>
        <w:jc w:val="both"/>
        <w:rPr>
          <w:rFonts w:eastAsia="Times New Roman"/>
          <w:sz w:val="16"/>
          <w:lang w:eastAsia="pl-PL"/>
        </w:rPr>
      </w:pPr>
      <w:r w:rsidRPr="00BD4567">
        <w:rPr>
          <w:rFonts w:eastAsia="Times New Roman"/>
          <w:sz w:val="16"/>
          <w:lang w:eastAsia="pl-PL"/>
        </w:rPr>
        <w:t>1 egz. a/a</w:t>
      </w:r>
    </w:p>
    <w:sectPr w:rsidR="00D828BD" w:rsidRPr="00BD4567" w:rsidSect="000014B6">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9A" w:rsidRDefault="008C329A" w:rsidP="00B9091A">
      <w:r>
        <w:separator/>
      </w:r>
    </w:p>
  </w:endnote>
  <w:endnote w:type="continuationSeparator" w:id="0">
    <w:p w:rsidR="008C329A" w:rsidRDefault="008C329A" w:rsidP="00B9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31190"/>
      <w:docPartObj>
        <w:docPartGallery w:val="Page Numbers (Bottom of Page)"/>
        <w:docPartUnique/>
      </w:docPartObj>
    </w:sdtPr>
    <w:sdtEndPr/>
    <w:sdtContent>
      <w:sdt>
        <w:sdtPr>
          <w:id w:val="860082579"/>
          <w:docPartObj>
            <w:docPartGallery w:val="Page Numbers (Top of Page)"/>
            <w:docPartUnique/>
          </w:docPartObj>
        </w:sdtPr>
        <w:sdtEndPr/>
        <w:sdtContent>
          <w:p w:rsidR="002B1673" w:rsidRDefault="002B1673">
            <w:pPr>
              <w:pStyle w:val="Stopka"/>
              <w:jc w:val="right"/>
            </w:pPr>
            <w:r>
              <w:t xml:space="preserve">Strona </w:t>
            </w:r>
            <w:r>
              <w:rPr>
                <w:b/>
                <w:bCs/>
                <w:szCs w:val="24"/>
              </w:rPr>
              <w:fldChar w:fldCharType="begin"/>
            </w:r>
            <w:r>
              <w:rPr>
                <w:b/>
                <w:bCs/>
              </w:rPr>
              <w:instrText>PAGE</w:instrText>
            </w:r>
            <w:r>
              <w:rPr>
                <w:b/>
                <w:bCs/>
                <w:szCs w:val="24"/>
              </w:rPr>
              <w:fldChar w:fldCharType="separate"/>
            </w:r>
            <w:r w:rsidR="006F4481">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6F4481">
              <w:rPr>
                <w:b/>
                <w:bCs/>
                <w:noProof/>
              </w:rPr>
              <w:t>5</w:t>
            </w:r>
            <w:r>
              <w:rPr>
                <w:b/>
                <w:bCs/>
                <w:szCs w:val="24"/>
              </w:rPr>
              <w:fldChar w:fldCharType="end"/>
            </w:r>
          </w:p>
        </w:sdtContent>
      </w:sdt>
    </w:sdtContent>
  </w:sdt>
  <w:p w:rsidR="00087B97" w:rsidRDefault="00087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9A" w:rsidRDefault="008C329A" w:rsidP="00B9091A">
      <w:r>
        <w:separator/>
      </w:r>
    </w:p>
  </w:footnote>
  <w:footnote w:type="continuationSeparator" w:id="0">
    <w:p w:rsidR="008C329A" w:rsidRDefault="008C329A" w:rsidP="00B90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1"/>
    <w:multiLevelType w:val="multilevel"/>
    <w:tmpl w:val="00000001"/>
    <w:name w:val="WW8Num1"/>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2">
    <w:nsid w:val="00000006"/>
    <w:multiLevelType w:val="singleLevel"/>
    <w:tmpl w:val="00000006"/>
    <w:name w:val="WW8Num6"/>
    <w:lvl w:ilvl="0">
      <w:start w:val="1"/>
      <w:numFmt w:val="lowerLetter"/>
      <w:lvlText w:val="%1)"/>
      <w:lvlJc w:val="left"/>
      <w:pPr>
        <w:tabs>
          <w:tab w:val="num" w:pos="0"/>
        </w:tabs>
        <w:ind w:left="720" w:hanging="360"/>
      </w:pPr>
      <w:rPr>
        <w:i w:val="0"/>
        <w:sz w:val="24"/>
        <w:szCs w:val="24"/>
      </w:rPr>
    </w:lvl>
  </w:abstractNum>
  <w:abstractNum w:abstractNumId="3">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5">
    <w:nsid w:val="00000016"/>
    <w:multiLevelType w:val="singleLevel"/>
    <w:tmpl w:val="00000016"/>
    <w:name w:val="WW8Num26"/>
    <w:lvl w:ilvl="0">
      <w:start w:val="1"/>
      <w:numFmt w:val="lowerLetter"/>
      <w:lvlText w:val="%1."/>
      <w:lvlJc w:val="left"/>
      <w:pPr>
        <w:tabs>
          <w:tab w:val="num" w:pos="720"/>
        </w:tabs>
        <w:ind w:left="720" w:hanging="360"/>
      </w:pPr>
    </w:lvl>
  </w:abstractNum>
  <w:abstractNum w:abstractNumId="6">
    <w:nsid w:val="00000027"/>
    <w:multiLevelType w:val="multilevel"/>
    <w:tmpl w:val="00000027"/>
    <w:name w:val="WW8Num43"/>
    <w:lvl w:ilvl="0">
      <w:numFmt w:val="bullet"/>
      <w:lvlText w:val="-"/>
      <w:lvlJc w:val="left"/>
      <w:pPr>
        <w:tabs>
          <w:tab w:val="num" w:pos="720"/>
        </w:tabs>
        <w:ind w:left="720" w:hanging="360"/>
      </w:pPr>
      <w:rPr>
        <w:rFonts w:ascii="Times New Roman" w:hAnsi="Times New Roman" w:cs="Times New Roman"/>
        <w:color w:val="000000"/>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1D865BA8"/>
    <w:multiLevelType w:val="hybridMultilevel"/>
    <w:tmpl w:val="86222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C41F3C"/>
    <w:multiLevelType w:val="hybridMultilevel"/>
    <w:tmpl w:val="D758D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2E5964"/>
    <w:multiLevelType w:val="hybridMultilevel"/>
    <w:tmpl w:val="D3086F96"/>
    <w:lvl w:ilvl="0" w:tplc="8864F21C">
      <w:start w:val="2"/>
      <w:numFmt w:val="bullet"/>
      <w:lvlText w:val=""/>
      <w:lvlJc w:val="left"/>
      <w:pPr>
        <w:ind w:left="720" w:hanging="360"/>
      </w:pPr>
      <w:rPr>
        <w:rFonts w:ascii="Symbol" w:eastAsia="Lucida Sans Unicode"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6D2E0D"/>
    <w:multiLevelType w:val="hybridMultilevel"/>
    <w:tmpl w:val="C35C5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3D58D7"/>
    <w:multiLevelType w:val="hybridMultilevel"/>
    <w:tmpl w:val="A3DA8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A05897"/>
    <w:multiLevelType w:val="hybridMultilevel"/>
    <w:tmpl w:val="C0C865C6"/>
    <w:lvl w:ilvl="0" w:tplc="354E7FD0">
      <w:start w:val="2"/>
      <w:numFmt w:val="bullet"/>
      <w:lvlText w:val=""/>
      <w:lvlJc w:val="left"/>
      <w:pPr>
        <w:ind w:left="1080" w:hanging="360"/>
      </w:pPr>
      <w:rPr>
        <w:rFonts w:ascii="Symbol" w:eastAsia="Lucida Sans Unicode"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56FC418E"/>
    <w:multiLevelType w:val="multilevel"/>
    <w:tmpl w:val="6E563D32"/>
    <w:lvl w:ilvl="0">
      <w:start w:val="1"/>
      <w:numFmt w:val="lowerLetter"/>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B62B1"/>
    <w:multiLevelType w:val="hybridMultilevel"/>
    <w:tmpl w:val="2CAAE3BA"/>
    <w:lvl w:ilvl="0" w:tplc="D28A8A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AA454C"/>
    <w:multiLevelType w:val="hybridMultilevel"/>
    <w:tmpl w:val="8A82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EA7CA3"/>
    <w:multiLevelType w:val="hybridMultilevel"/>
    <w:tmpl w:val="9E0238AC"/>
    <w:lvl w:ilvl="0" w:tplc="4A6EB470">
      <w:start w:val="1"/>
      <w:numFmt w:val="decimal"/>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A11788"/>
    <w:multiLevelType w:val="hybridMultilevel"/>
    <w:tmpl w:val="5A3AB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6305DB"/>
    <w:multiLevelType w:val="hybridMultilevel"/>
    <w:tmpl w:val="86529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9425E9"/>
    <w:multiLevelType w:val="hybridMultilevel"/>
    <w:tmpl w:val="297AB470"/>
    <w:lvl w:ilvl="0" w:tplc="499C4D2C">
      <w:start w:val="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CB7EA0"/>
    <w:multiLevelType w:val="hybridMultilevel"/>
    <w:tmpl w:val="88605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15"/>
  </w:num>
  <w:num w:numId="5">
    <w:abstractNumId w:val="18"/>
  </w:num>
  <w:num w:numId="6">
    <w:abstractNumId w:val="19"/>
  </w:num>
  <w:num w:numId="7">
    <w:abstractNumId w:val="9"/>
  </w:num>
  <w:num w:numId="8">
    <w:abstractNumId w:val="12"/>
  </w:num>
  <w:num w:numId="9">
    <w:abstractNumId w:val="17"/>
  </w:num>
  <w:num w:numId="10">
    <w:abstractNumId w:val="20"/>
  </w:num>
  <w:num w:numId="11">
    <w:abstractNumId w:val="8"/>
  </w:num>
  <w:num w:numId="12">
    <w:abstractNumId w:val="10"/>
  </w:num>
  <w:num w:numId="13">
    <w:abstractNumId w:val="7"/>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A"/>
    <w:rsid w:val="00001353"/>
    <w:rsid w:val="000014B6"/>
    <w:rsid w:val="0000636D"/>
    <w:rsid w:val="000112B6"/>
    <w:rsid w:val="00012DD9"/>
    <w:rsid w:val="00013092"/>
    <w:rsid w:val="00015191"/>
    <w:rsid w:val="00017D6A"/>
    <w:rsid w:val="000238CF"/>
    <w:rsid w:val="000327F7"/>
    <w:rsid w:val="00035A1C"/>
    <w:rsid w:val="000375B6"/>
    <w:rsid w:val="00042E99"/>
    <w:rsid w:val="000449FC"/>
    <w:rsid w:val="00047334"/>
    <w:rsid w:val="00047364"/>
    <w:rsid w:val="000616C0"/>
    <w:rsid w:val="00061CDE"/>
    <w:rsid w:val="00063477"/>
    <w:rsid w:val="00081E03"/>
    <w:rsid w:val="00081FF4"/>
    <w:rsid w:val="000863FC"/>
    <w:rsid w:val="00087B97"/>
    <w:rsid w:val="00093DE2"/>
    <w:rsid w:val="00094621"/>
    <w:rsid w:val="000962B9"/>
    <w:rsid w:val="000A0B02"/>
    <w:rsid w:val="000B5459"/>
    <w:rsid w:val="000C791D"/>
    <w:rsid w:val="000D2C91"/>
    <w:rsid w:val="000D4211"/>
    <w:rsid w:val="000D5779"/>
    <w:rsid w:val="000D6DDF"/>
    <w:rsid w:val="000D7CDA"/>
    <w:rsid w:val="000E1DBE"/>
    <w:rsid w:val="000F0032"/>
    <w:rsid w:val="000F119A"/>
    <w:rsid w:val="001027D7"/>
    <w:rsid w:val="0010424A"/>
    <w:rsid w:val="0010717E"/>
    <w:rsid w:val="0011245E"/>
    <w:rsid w:val="0011594E"/>
    <w:rsid w:val="001175BF"/>
    <w:rsid w:val="001263EB"/>
    <w:rsid w:val="00126878"/>
    <w:rsid w:val="00130F9D"/>
    <w:rsid w:val="00134F08"/>
    <w:rsid w:val="00147719"/>
    <w:rsid w:val="00151780"/>
    <w:rsid w:val="00155620"/>
    <w:rsid w:val="00164E37"/>
    <w:rsid w:val="001663EB"/>
    <w:rsid w:val="001761A2"/>
    <w:rsid w:val="00196978"/>
    <w:rsid w:val="001A251D"/>
    <w:rsid w:val="001B0120"/>
    <w:rsid w:val="001B4742"/>
    <w:rsid w:val="001C0502"/>
    <w:rsid w:val="001D0FA8"/>
    <w:rsid w:val="001D2883"/>
    <w:rsid w:val="001D417A"/>
    <w:rsid w:val="001E5FE9"/>
    <w:rsid w:val="001F0CE4"/>
    <w:rsid w:val="001F1D35"/>
    <w:rsid w:val="001F2ADB"/>
    <w:rsid w:val="001F383A"/>
    <w:rsid w:val="001F4CF7"/>
    <w:rsid w:val="001F4DE1"/>
    <w:rsid w:val="001F7C23"/>
    <w:rsid w:val="00201399"/>
    <w:rsid w:val="00206F31"/>
    <w:rsid w:val="00206F9C"/>
    <w:rsid w:val="00207277"/>
    <w:rsid w:val="00217CB1"/>
    <w:rsid w:val="00220EE6"/>
    <w:rsid w:val="00222E34"/>
    <w:rsid w:val="00225434"/>
    <w:rsid w:val="002254CE"/>
    <w:rsid w:val="00230208"/>
    <w:rsid w:val="00232093"/>
    <w:rsid w:val="002333EC"/>
    <w:rsid w:val="002348E0"/>
    <w:rsid w:val="00240D64"/>
    <w:rsid w:val="00242EE6"/>
    <w:rsid w:val="00243E02"/>
    <w:rsid w:val="00244707"/>
    <w:rsid w:val="00245A72"/>
    <w:rsid w:val="0026020A"/>
    <w:rsid w:val="00260FD0"/>
    <w:rsid w:val="002631EC"/>
    <w:rsid w:val="00272086"/>
    <w:rsid w:val="002754D8"/>
    <w:rsid w:val="00276BF3"/>
    <w:rsid w:val="00280F43"/>
    <w:rsid w:val="002831D1"/>
    <w:rsid w:val="002903B5"/>
    <w:rsid w:val="00290A09"/>
    <w:rsid w:val="00293581"/>
    <w:rsid w:val="00295600"/>
    <w:rsid w:val="002A6166"/>
    <w:rsid w:val="002A6A9E"/>
    <w:rsid w:val="002B1096"/>
    <w:rsid w:val="002B1673"/>
    <w:rsid w:val="002B2049"/>
    <w:rsid w:val="002C2969"/>
    <w:rsid w:val="002C3B95"/>
    <w:rsid w:val="002C4EB9"/>
    <w:rsid w:val="002D1488"/>
    <w:rsid w:val="002D45D2"/>
    <w:rsid w:val="002D64AF"/>
    <w:rsid w:val="002D7859"/>
    <w:rsid w:val="002E1656"/>
    <w:rsid w:val="002E249A"/>
    <w:rsid w:val="002F1BAC"/>
    <w:rsid w:val="002F1FA0"/>
    <w:rsid w:val="00305545"/>
    <w:rsid w:val="00310C95"/>
    <w:rsid w:val="00311F3D"/>
    <w:rsid w:val="00312265"/>
    <w:rsid w:val="003231AA"/>
    <w:rsid w:val="00324894"/>
    <w:rsid w:val="0033041F"/>
    <w:rsid w:val="0033109C"/>
    <w:rsid w:val="003314FC"/>
    <w:rsid w:val="00331AC4"/>
    <w:rsid w:val="00343AD4"/>
    <w:rsid w:val="00345B63"/>
    <w:rsid w:val="0034667D"/>
    <w:rsid w:val="003472A3"/>
    <w:rsid w:val="00350166"/>
    <w:rsid w:val="00352379"/>
    <w:rsid w:val="003548D6"/>
    <w:rsid w:val="00354ACE"/>
    <w:rsid w:val="0036227D"/>
    <w:rsid w:val="00362327"/>
    <w:rsid w:val="003665C5"/>
    <w:rsid w:val="00367CA3"/>
    <w:rsid w:val="00371EB6"/>
    <w:rsid w:val="00374402"/>
    <w:rsid w:val="00381188"/>
    <w:rsid w:val="00383F3C"/>
    <w:rsid w:val="00395A22"/>
    <w:rsid w:val="003A40D4"/>
    <w:rsid w:val="003A4952"/>
    <w:rsid w:val="003B05F6"/>
    <w:rsid w:val="003B07AB"/>
    <w:rsid w:val="003C619D"/>
    <w:rsid w:val="003D0E69"/>
    <w:rsid w:val="003D18CD"/>
    <w:rsid w:val="003D1EEF"/>
    <w:rsid w:val="003E067F"/>
    <w:rsid w:val="003E199A"/>
    <w:rsid w:val="003E29E3"/>
    <w:rsid w:val="003E2C70"/>
    <w:rsid w:val="003E5AE1"/>
    <w:rsid w:val="003E5C61"/>
    <w:rsid w:val="003E6E61"/>
    <w:rsid w:val="003E6FF7"/>
    <w:rsid w:val="003F2285"/>
    <w:rsid w:val="003F6BA2"/>
    <w:rsid w:val="004048D5"/>
    <w:rsid w:val="00413D34"/>
    <w:rsid w:val="0041454F"/>
    <w:rsid w:val="0042125C"/>
    <w:rsid w:val="00430836"/>
    <w:rsid w:val="00431533"/>
    <w:rsid w:val="004371E4"/>
    <w:rsid w:val="004409CF"/>
    <w:rsid w:val="00440DA3"/>
    <w:rsid w:val="004438B7"/>
    <w:rsid w:val="00455031"/>
    <w:rsid w:val="004656C5"/>
    <w:rsid w:val="00470523"/>
    <w:rsid w:val="004726B0"/>
    <w:rsid w:val="004861A5"/>
    <w:rsid w:val="004A00C0"/>
    <w:rsid w:val="004A1E81"/>
    <w:rsid w:val="004A3BA3"/>
    <w:rsid w:val="004A553F"/>
    <w:rsid w:val="004B216C"/>
    <w:rsid w:val="004B4AAC"/>
    <w:rsid w:val="004B53B2"/>
    <w:rsid w:val="004C2257"/>
    <w:rsid w:val="004C3F1C"/>
    <w:rsid w:val="004C663C"/>
    <w:rsid w:val="004D1B6F"/>
    <w:rsid w:val="004D23DF"/>
    <w:rsid w:val="004D56B2"/>
    <w:rsid w:val="004E46DB"/>
    <w:rsid w:val="004E6E3E"/>
    <w:rsid w:val="004F0260"/>
    <w:rsid w:val="004F160F"/>
    <w:rsid w:val="00502B3D"/>
    <w:rsid w:val="005035AF"/>
    <w:rsid w:val="005074CB"/>
    <w:rsid w:val="00511611"/>
    <w:rsid w:val="00513041"/>
    <w:rsid w:val="00513408"/>
    <w:rsid w:val="00525E68"/>
    <w:rsid w:val="00531E39"/>
    <w:rsid w:val="00544BF8"/>
    <w:rsid w:val="00551783"/>
    <w:rsid w:val="00554E04"/>
    <w:rsid w:val="00560C52"/>
    <w:rsid w:val="00563AFC"/>
    <w:rsid w:val="0056452D"/>
    <w:rsid w:val="00573317"/>
    <w:rsid w:val="005737B2"/>
    <w:rsid w:val="00576410"/>
    <w:rsid w:val="005827EE"/>
    <w:rsid w:val="0058558C"/>
    <w:rsid w:val="005909DF"/>
    <w:rsid w:val="00591B18"/>
    <w:rsid w:val="00592151"/>
    <w:rsid w:val="0059252E"/>
    <w:rsid w:val="00595702"/>
    <w:rsid w:val="005A0A90"/>
    <w:rsid w:val="005A0B70"/>
    <w:rsid w:val="005A1360"/>
    <w:rsid w:val="005B31D3"/>
    <w:rsid w:val="005B434D"/>
    <w:rsid w:val="005C0937"/>
    <w:rsid w:val="005C1448"/>
    <w:rsid w:val="005C3728"/>
    <w:rsid w:val="005C4244"/>
    <w:rsid w:val="005C7F62"/>
    <w:rsid w:val="005D2706"/>
    <w:rsid w:val="005D470C"/>
    <w:rsid w:val="005D7B87"/>
    <w:rsid w:val="005E322E"/>
    <w:rsid w:val="005F08A6"/>
    <w:rsid w:val="005F13DE"/>
    <w:rsid w:val="005F1BDE"/>
    <w:rsid w:val="005F1FBD"/>
    <w:rsid w:val="005F4E98"/>
    <w:rsid w:val="00603129"/>
    <w:rsid w:val="0060473E"/>
    <w:rsid w:val="006063D8"/>
    <w:rsid w:val="00606B0C"/>
    <w:rsid w:val="00612C4B"/>
    <w:rsid w:val="0061651F"/>
    <w:rsid w:val="00631D6E"/>
    <w:rsid w:val="00632CE9"/>
    <w:rsid w:val="00634348"/>
    <w:rsid w:val="00634726"/>
    <w:rsid w:val="006375BB"/>
    <w:rsid w:val="006414ED"/>
    <w:rsid w:val="00645CDA"/>
    <w:rsid w:val="00651B6C"/>
    <w:rsid w:val="00652D1B"/>
    <w:rsid w:val="0065374D"/>
    <w:rsid w:val="00655A18"/>
    <w:rsid w:val="00667F68"/>
    <w:rsid w:val="00670369"/>
    <w:rsid w:val="0067209F"/>
    <w:rsid w:val="006879B0"/>
    <w:rsid w:val="00687E08"/>
    <w:rsid w:val="006919FD"/>
    <w:rsid w:val="006943C9"/>
    <w:rsid w:val="006A2298"/>
    <w:rsid w:val="006A4AF1"/>
    <w:rsid w:val="006A665A"/>
    <w:rsid w:val="006A7A76"/>
    <w:rsid w:val="006B0C9A"/>
    <w:rsid w:val="006C0481"/>
    <w:rsid w:val="006C32BC"/>
    <w:rsid w:val="006E2268"/>
    <w:rsid w:val="006E6571"/>
    <w:rsid w:val="006E75E7"/>
    <w:rsid w:val="006F4481"/>
    <w:rsid w:val="006F456E"/>
    <w:rsid w:val="006F6356"/>
    <w:rsid w:val="007155DB"/>
    <w:rsid w:val="007165FC"/>
    <w:rsid w:val="00720935"/>
    <w:rsid w:val="007257A4"/>
    <w:rsid w:val="00730393"/>
    <w:rsid w:val="007354DE"/>
    <w:rsid w:val="00740632"/>
    <w:rsid w:val="0074111A"/>
    <w:rsid w:val="0074156B"/>
    <w:rsid w:val="007477B0"/>
    <w:rsid w:val="00747E69"/>
    <w:rsid w:val="00752222"/>
    <w:rsid w:val="00773DD9"/>
    <w:rsid w:val="00777E70"/>
    <w:rsid w:val="00781CCD"/>
    <w:rsid w:val="007833C2"/>
    <w:rsid w:val="00783AFC"/>
    <w:rsid w:val="00784A26"/>
    <w:rsid w:val="00785382"/>
    <w:rsid w:val="00791329"/>
    <w:rsid w:val="00791544"/>
    <w:rsid w:val="00794C19"/>
    <w:rsid w:val="0079542A"/>
    <w:rsid w:val="007A0EDC"/>
    <w:rsid w:val="007A213D"/>
    <w:rsid w:val="007A438B"/>
    <w:rsid w:val="007B3D9C"/>
    <w:rsid w:val="007C1B00"/>
    <w:rsid w:val="007C47F6"/>
    <w:rsid w:val="007C556A"/>
    <w:rsid w:val="007D05A3"/>
    <w:rsid w:val="007D17AB"/>
    <w:rsid w:val="007D3738"/>
    <w:rsid w:val="007D4BD1"/>
    <w:rsid w:val="007D69E8"/>
    <w:rsid w:val="007E3C85"/>
    <w:rsid w:val="007F2615"/>
    <w:rsid w:val="007F5CB3"/>
    <w:rsid w:val="007F6136"/>
    <w:rsid w:val="0080133A"/>
    <w:rsid w:val="008020DF"/>
    <w:rsid w:val="0080391C"/>
    <w:rsid w:val="008051C1"/>
    <w:rsid w:val="008208D5"/>
    <w:rsid w:val="00820985"/>
    <w:rsid w:val="00822CE5"/>
    <w:rsid w:val="0082435D"/>
    <w:rsid w:val="008321A9"/>
    <w:rsid w:val="00837EB4"/>
    <w:rsid w:val="008426C6"/>
    <w:rsid w:val="00847131"/>
    <w:rsid w:val="008504EB"/>
    <w:rsid w:val="00851AC5"/>
    <w:rsid w:val="00853351"/>
    <w:rsid w:val="008630FA"/>
    <w:rsid w:val="00863A6B"/>
    <w:rsid w:val="008715E6"/>
    <w:rsid w:val="00871CC0"/>
    <w:rsid w:val="00872C0B"/>
    <w:rsid w:val="00876716"/>
    <w:rsid w:val="00893E9A"/>
    <w:rsid w:val="00894668"/>
    <w:rsid w:val="008957A0"/>
    <w:rsid w:val="00897595"/>
    <w:rsid w:val="008A6F60"/>
    <w:rsid w:val="008A7044"/>
    <w:rsid w:val="008B1102"/>
    <w:rsid w:val="008B2575"/>
    <w:rsid w:val="008B3016"/>
    <w:rsid w:val="008C329A"/>
    <w:rsid w:val="008D0BE5"/>
    <w:rsid w:val="008D1A61"/>
    <w:rsid w:val="008D34CC"/>
    <w:rsid w:val="008D47E6"/>
    <w:rsid w:val="008E02FF"/>
    <w:rsid w:val="008E33B0"/>
    <w:rsid w:val="008F1632"/>
    <w:rsid w:val="0090121D"/>
    <w:rsid w:val="00902255"/>
    <w:rsid w:val="00902F1E"/>
    <w:rsid w:val="009043B8"/>
    <w:rsid w:val="00916C84"/>
    <w:rsid w:val="009251EE"/>
    <w:rsid w:val="009256C7"/>
    <w:rsid w:val="00932434"/>
    <w:rsid w:val="009340B6"/>
    <w:rsid w:val="00936439"/>
    <w:rsid w:val="00937138"/>
    <w:rsid w:val="009407FA"/>
    <w:rsid w:val="009422EE"/>
    <w:rsid w:val="00946D10"/>
    <w:rsid w:val="009523F9"/>
    <w:rsid w:val="00956215"/>
    <w:rsid w:val="00960FEB"/>
    <w:rsid w:val="00970558"/>
    <w:rsid w:val="0099358A"/>
    <w:rsid w:val="00996399"/>
    <w:rsid w:val="009A0A08"/>
    <w:rsid w:val="009A11A1"/>
    <w:rsid w:val="009A3D19"/>
    <w:rsid w:val="009B19BB"/>
    <w:rsid w:val="009B2612"/>
    <w:rsid w:val="009B3205"/>
    <w:rsid w:val="009B4DD1"/>
    <w:rsid w:val="009B50AA"/>
    <w:rsid w:val="009C379B"/>
    <w:rsid w:val="009C7104"/>
    <w:rsid w:val="009C7C11"/>
    <w:rsid w:val="009D1782"/>
    <w:rsid w:val="009D2C41"/>
    <w:rsid w:val="009F3B0B"/>
    <w:rsid w:val="009F719C"/>
    <w:rsid w:val="00A01F3E"/>
    <w:rsid w:val="00A02319"/>
    <w:rsid w:val="00A04F7B"/>
    <w:rsid w:val="00A11AC9"/>
    <w:rsid w:val="00A15B56"/>
    <w:rsid w:val="00A16B88"/>
    <w:rsid w:val="00A21AA5"/>
    <w:rsid w:val="00A232FE"/>
    <w:rsid w:val="00A24F36"/>
    <w:rsid w:val="00A26622"/>
    <w:rsid w:val="00A3259D"/>
    <w:rsid w:val="00A34B42"/>
    <w:rsid w:val="00A44488"/>
    <w:rsid w:val="00A5028B"/>
    <w:rsid w:val="00A53496"/>
    <w:rsid w:val="00A57735"/>
    <w:rsid w:val="00A62A22"/>
    <w:rsid w:val="00A65495"/>
    <w:rsid w:val="00A66A0F"/>
    <w:rsid w:val="00A679A8"/>
    <w:rsid w:val="00A71512"/>
    <w:rsid w:val="00A7392D"/>
    <w:rsid w:val="00A74AED"/>
    <w:rsid w:val="00A76938"/>
    <w:rsid w:val="00A80D2E"/>
    <w:rsid w:val="00A82979"/>
    <w:rsid w:val="00A917BE"/>
    <w:rsid w:val="00A92170"/>
    <w:rsid w:val="00AA0A32"/>
    <w:rsid w:val="00AA2541"/>
    <w:rsid w:val="00AA5600"/>
    <w:rsid w:val="00AB28FA"/>
    <w:rsid w:val="00AB3E37"/>
    <w:rsid w:val="00AC0D63"/>
    <w:rsid w:val="00AC7E4E"/>
    <w:rsid w:val="00AD0FE9"/>
    <w:rsid w:val="00AD4792"/>
    <w:rsid w:val="00AD712C"/>
    <w:rsid w:val="00AE2432"/>
    <w:rsid w:val="00AE5E2A"/>
    <w:rsid w:val="00AF6F47"/>
    <w:rsid w:val="00B01AC2"/>
    <w:rsid w:val="00B0555A"/>
    <w:rsid w:val="00B13EA4"/>
    <w:rsid w:val="00B14C35"/>
    <w:rsid w:val="00B16662"/>
    <w:rsid w:val="00B21370"/>
    <w:rsid w:val="00B214AF"/>
    <w:rsid w:val="00B23C11"/>
    <w:rsid w:val="00B25F14"/>
    <w:rsid w:val="00B30092"/>
    <w:rsid w:val="00B314DE"/>
    <w:rsid w:val="00B3332A"/>
    <w:rsid w:val="00B3408D"/>
    <w:rsid w:val="00B36E4D"/>
    <w:rsid w:val="00B400F6"/>
    <w:rsid w:val="00B40A1B"/>
    <w:rsid w:val="00B43B43"/>
    <w:rsid w:val="00B46C0D"/>
    <w:rsid w:val="00B50F5D"/>
    <w:rsid w:val="00B54186"/>
    <w:rsid w:val="00B565AD"/>
    <w:rsid w:val="00B64517"/>
    <w:rsid w:val="00B70C2A"/>
    <w:rsid w:val="00B752C1"/>
    <w:rsid w:val="00B80FC4"/>
    <w:rsid w:val="00B82FE0"/>
    <w:rsid w:val="00B8376E"/>
    <w:rsid w:val="00B8719C"/>
    <w:rsid w:val="00B9091A"/>
    <w:rsid w:val="00B91A97"/>
    <w:rsid w:val="00B94196"/>
    <w:rsid w:val="00B94402"/>
    <w:rsid w:val="00B94783"/>
    <w:rsid w:val="00B9563C"/>
    <w:rsid w:val="00BA5D6F"/>
    <w:rsid w:val="00BB07E9"/>
    <w:rsid w:val="00BB0BB7"/>
    <w:rsid w:val="00BB1BF6"/>
    <w:rsid w:val="00BB313D"/>
    <w:rsid w:val="00BB33C7"/>
    <w:rsid w:val="00BB4A0C"/>
    <w:rsid w:val="00BC0439"/>
    <w:rsid w:val="00BC2801"/>
    <w:rsid w:val="00BC4862"/>
    <w:rsid w:val="00BD0DB5"/>
    <w:rsid w:val="00BD17F9"/>
    <w:rsid w:val="00BD4567"/>
    <w:rsid w:val="00BD7B77"/>
    <w:rsid w:val="00BE2970"/>
    <w:rsid w:val="00BE376D"/>
    <w:rsid w:val="00BE6587"/>
    <w:rsid w:val="00BF173F"/>
    <w:rsid w:val="00BF677A"/>
    <w:rsid w:val="00BF694D"/>
    <w:rsid w:val="00C01A75"/>
    <w:rsid w:val="00C04672"/>
    <w:rsid w:val="00C071CE"/>
    <w:rsid w:val="00C0773A"/>
    <w:rsid w:val="00C10EFD"/>
    <w:rsid w:val="00C24C9C"/>
    <w:rsid w:val="00C2560A"/>
    <w:rsid w:val="00C26FD9"/>
    <w:rsid w:val="00C3497B"/>
    <w:rsid w:val="00C350CC"/>
    <w:rsid w:val="00C50BBC"/>
    <w:rsid w:val="00C55EF9"/>
    <w:rsid w:val="00C56479"/>
    <w:rsid w:val="00C5740E"/>
    <w:rsid w:val="00C5761E"/>
    <w:rsid w:val="00C60032"/>
    <w:rsid w:val="00C60B0E"/>
    <w:rsid w:val="00C66545"/>
    <w:rsid w:val="00C75335"/>
    <w:rsid w:val="00C770B7"/>
    <w:rsid w:val="00C80FB4"/>
    <w:rsid w:val="00C83494"/>
    <w:rsid w:val="00C91F50"/>
    <w:rsid w:val="00CA198C"/>
    <w:rsid w:val="00CA3309"/>
    <w:rsid w:val="00CA590D"/>
    <w:rsid w:val="00CA7E83"/>
    <w:rsid w:val="00CB2B99"/>
    <w:rsid w:val="00CB69E0"/>
    <w:rsid w:val="00CC1095"/>
    <w:rsid w:val="00CC2556"/>
    <w:rsid w:val="00CC370A"/>
    <w:rsid w:val="00CE092D"/>
    <w:rsid w:val="00CE0DE8"/>
    <w:rsid w:val="00CE17AD"/>
    <w:rsid w:val="00CE23D0"/>
    <w:rsid w:val="00CE255E"/>
    <w:rsid w:val="00CE481E"/>
    <w:rsid w:val="00D01BC4"/>
    <w:rsid w:val="00D05F78"/>
    <w:rsid w:val="00D06048"/>
    <w:rsid w:val="00D15009"/>
    <w:rsid w:val="00D316EF"/>
    <w:rsid w:val="00D32CD8"/>
    <w:rsid w:val="00D412B8"/>
    <w:rsid w:val="00D5069F"/>
    <w:rsid w:val="00D639CD"/>
    <w:rsid w:val="00D70E2D"/>
    <w:rsid w:val="00D736C7"/>
    <w:rsid w:val="00D7750E"/>
    <w:rsid w:val="00D77B9A"/>
    <w:rsid w:val="00D828BD"/>
    <w:rsid w:val="00D84313"/>
    <w:rsid w:val="00D84EA2"/>
    <w:rsid w:val="00D85AD7"/>
    <w:rsid w:val="00D862A8"/>
    <w:rsid w:val="00D90A0F"/>
    <w:rsid w:val="00D911DC"/>
    <w:rsid w:val="00D919DD"/>
    <w:rsid w:val="00DA1055"/>
    <w:rsid w:val="00DA164E"/>
    <w:rsid w:val="00DA5891"/>
    <w:rsid w:val="00DA6053"/>
    <w:rsid w:val="00DA786F"/>
    <w:rsid w:val="00DA78DE"/>
    <w:rsid w:val="00DB1269"/>
    <w:rsid w:val="00DB1B82"/>
    <w:rsid w:val="00DB307C"/>
    <w:rsid w:val="00DB4EA0"/>
    <w:rsid w:val="00DB62F4"/>
    <w:rsid w:val="00DC3943"/>
    <w:rsid w:val="00DC567F"/>
    <w:rsid w:val="00DD1173"/>
    <w:rsid w:val="00DD40D5"/>
    <w:rsid w:val="00DE2727"/>
    <w:rsid w:val="00DE4BB9"/>
    <w:rsid w:val="00DE538E"/>
    <w:rsid w:val="00DF7696"/>
    <w:rsid w:val="00E00C1C"/>
    <w:rsid w:val="00E02C39"/>
    <w:rsid w:val="00E0467B"/>
    <w:rsid w:val="00E05063"/>
    <w:rsid w:val="00E06152"/>
    <w:rsid w:val="00E13F59"/>
    <w:rsid w:val="00E14BD4"/>
    <w:rsid w:val="00E1794A"/>
    <w:rsid w:val="00E21CC6"/>
    <w:rsid w:val="00E241F3"/>
    <w:rsid w:val="00E309CB"/>
    <w:rsid w:val="00E41335"/>
    <w:rsid w:val="00E41FAC"/>
    <w:rsid w:val="00E421C6"/>
    <w:rsid w:val="00E44AAD"/>
    <w:rsid w:val="00E467B2"/>
    <w:rsid w:val="00E5003D"/>
    <w:rsid w:val="00E52B8D"/>
    <w:rsid w:val="00E52CBB"/>
    <w:rsid w:val="00E5482D"/>
    <w:rsid w:val="00E55C1A"/>
    <w:rsid w:val="00E618C8"/>
    <w:rsid w:val="00E674BA"/>
    <w:rsid w:val="00E70CDE"/>
    <w:rsid w:val="00E70F3D"/>
    <w:rsid w:val="00E72A5E"/>
    <w:rsid w:val="00E756AC"/>
    <w:rsid w:val="00E8647B"/>
    <w:rsid w:val="00E971B6"/>
    <w:rsid w:val="00EA11AF"/>
    <w:rsid w:val="00EA552D"/>
    <w:rsid w:val="00EC0291"/>
    <w:rsid w:val="00ED520D"/>
    <w:rsid w:val="00EE0470"/>
    <w:rsid w:val="00EE2191"/>
    <w:rsid w:val="00EE5D5D"/>
    <w:rsid w:val="00EF167E"/>
    <w:rsid w:val="00F015C0"/>
    <w:rsid w:val="00F127EE"/>
    <w:rsid w:val="00F16A8C"/>
    <w:rsid w:val="00F16BF0"/>
    <w:rsid w:val="00F25DAA"/>
    <w:rsid w:val="00F26614"/>
    <w:rsid w:val="00F3078B"/>
    <w:rsid w:val="00F30850"/>
    <w:rsid w:val="00F32CF5"/>
    <w:rsid w:val="00F4035D"/>
    <w:rsid w:val="00F4043F"/>
    <w:rsid w:val="00F43879"/>
    <w:rsid w:val="00F4431A"/>
    <w:rsid w:val="00F46BCB"/>
    <w:rsid w:val="00F57367"/>
    <w:rsid w:val="00F705F2"/>
    <w:rsid w:val="00F73E8C"/>
    <w:rsid w:val="00F74BF4"/>
    <w:rsid w:val="00F75DB9"/>
    <w:rsid w:val="00F806E7"/>
    <w:rsid w:val="00F81131"/>
    <w:rsid w:val="00F82F6F"/>
    <w:rsid w:val="00F96E89"/>
    <w:rsid w:val="00FA4368"/>
    <w:rsid w:val="00FB63B4"/>
    <w:rsid w:val="00FC370C"/>
    <w:rsid w:val="00FC4533"/>
    <w:rsid w:val="00FC6218"/>
    <w:rsid w:val="00FC7671"/>
    <w:rsid w:val="00FD653D"/>
    <w:rsid w:val="00FE09DF"/>
    <w:rsid w:val="00FE45B7"/>
    <w:rsid w:val="00FE4815"/>
    <w:rsid w:val="00FF1554"/>
    <w:rsid w:val="00FF3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91A"/>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Nagwek3">
    <w:name w:val="heading 3"/>
    <w:basedOn w:val="Normalny"/>
    <w:next w:val="Normalny"/>
    <w:link w:val="Nagwek3Znak"/>
    <w:qFormat/>
    <w:rsid w:val="00C2560A"/>
    <w:pPr>
      <w:keepNext/>
      <w:widowControl/>
      <w:suppressAutoHyphens w:val="0"/>
      <w:spacing w:before="120" w:after="120"/>
      <w:jc w:val="center"/>
      <w:outlineLvl w:val="2"/>
    </w:pPr>
    <w:rPr>
      <w:rFonts w:eastAsia="Times New Roman" w:cs="Calibri"/>
      <w:b/>
      <w:szCs w:val="22"/>
      <w:lang w:eastAsia="pl-PL"/>
    </w:rPr>
  </w:style>
  <w:style w:type="paragraph" w:styleId="Nagwek4">
    <w:name w:val="heading 4"/>
    <w:basedOn w:val="Normalny"/>
    <w:next w:val="Normalny"/>
    <w:link w:val="Nagwek4Znak"/>
    <w:uiPriority w:val="9"/>
    <w:unhideWhenUsed/>
    <w:qFormat/>
    <w:rsid w:val="00BC28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semiHidden/>
    <w:unhideWhenUsed/>
    <w:rsid w:val="00B9091A"/>
    <w:rPr>
      <w:sz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semiHidden/>
    <w:rsid w:val="00B9091A"/>
    <w:rPr>
      <w:rFonts w:ascii="Times New Roman" w:eastAsia="Lucida Sans Unicode" w:hAnsi="Times New Roman" w:cs="Times New Roman"/>
      <w:sz w:val="20"/>
      <w:szCs w:val="20"/>
      <w:lang w:eastAsia="ar-SA"/>
    </w:rPr>
  </w:style>
  <w:style w:type="paragraph" w:customStyle="1" w:styleId="Default">
    <w:name w:val="Default"/>
    <w:rsid w:val="00B9091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Odwoanieprzypisudolnego">
    <w:name w:val="footnote reference"/>
    <w:semiHidden/>
    <w:unhideWhenUsed/>
    <w:rsid w:val="00B9091A"/>
    <w:rPr>
      <w:vertAlign w:val="superscript"/>
    </w:rPr>
  </w:style>
  <w:style w:type="paragraph" w:styleId="Tekstdymka">
    <w:name w:val="Balloon Text"/>
    <w:basedOn w:val="Normalny"/>
    <w:link w:val="TekstdymkaZnak"/>
    <w:uiPriority w:val="99"/>
    <w:semiHidden/>
    <w:unhideWhenUsed/>
    <w:rsid w:val="00F26614"/>
    <w:rPr>
      <w:rFonts w:ascii="Tahoma" w:hAnsi="Tahoma" w:cs="Tahoma"/>
      <w:sz w:val="16"/>
      <w:szCs w:val="16"/>
    </w:rPr>
  </w:style>
  <w:style w:type="character" w:customStyle="1" w:styleId="TekstdymkaZnak">
    <w:name w:val="Tekst dymka Znak"/>
    <w:basedOn w:val="Domylnaczcionkaakapitu"/>
    <w:link w:val="Tekstdymka"/>
    <w:uiPriority w:val="99"/>
    <w:semiHidden/>
    <w:rsid w:val="00F26614"/>
    <w:rPr>
      <w:rFonts w:ascii="Tahoma" w:eastAsia="Lucida Sans Unicode" w:hAnsi="Tahoma" w:cs="Tahoma"/>
      <w:sz w:val="16"/>
      <w:szCs w:val="16"/>
      <w:lang w:eastAsia="ar-SA"/>
    </w:rPr>
  </w:style>
  <w:style w:type="paragraph" w:styleId="Nagwek">
    <w:name w:val="header"/>
    <w:basedOn w:val="Normalny"/>
    <w:link w:val="NagwekZnak"/>
    <w:uiPriority w:val="99"/>
    <w:unhideWhenUsed/>
    <w:rsid w:val="00B14C35"/>
    <w:pPr>
      <w:tabs>
        <w:tab w:val="center" w:pos="4536"/>
        <w:tab w:val="right" w:pos="9072"/>
      </w:tabs>
    </w:pPr>
  </w:style>
  <w:style w:type="character" w:customStyle="1" w:styleId="NagwekZnak">
    <w:name w:val="Nagłówek Znak"/>
    <w:basedOn w:val="Domylnaczcionkaakapitu"/>
    <w:link w:val="Nagwek"/>
    <w:uiPriority w:val="99"/>
    <w:rsid w:val="00B14C35"/>
    <w:rPr>
      <w:rFonts w:ascii="Times New Roman" w:eastAsia="Lucida Sans Unicode" w:hAnsi="Times New Roman" w:cs="Times New Roman"/>
      <w:sz w:val="24"/>
      <w:szCs w:val="20"/>
      <w:lang w:eastAsia="ar-SA"/>
    </w:rPr>
  </w:style>
  <w:style w:type="paragraph" w:styleId="Stopka">
    <w:name w:val="footer"/>
    <w:basedOn w:val="Normalny"/>
    <w:link w:val="StopkaZnak"/>
    <w:uiPriority w:val="99"/>
    <w:unhideWhenUsed/>
    <w:rsid w:val="00B14C35"/>
    <w:pPr>
      <w:tabs>
        <w:tab w:val="center" w:pos="4536"/>
        <w:tab w:val="right" w:pos="9072"/>
      </w:tabs>
    </w:pPr>
  </w:style>
  <w:style w:type="character" w:customStyle="1" w:styleId="StopkaZnak">
    <w:name w:val="Stopka Znak"/>
    <w:basedOn w:val="Domylnaczcionkaakapitu"/>
    <w:link w:val="Stopka"/>
    <w:uiPriority w:val="99"/>
    <w:rsid w:val="00B14C35"/>
    <w:rPr>
      <w:rFonts w:ascii="Times New Roman" w:eastAsia="Lucida Sans Unicode" w:hAnsi="Times New Roman" w:cs="Times New Roman"/>
      <w:sz w:val="24"/>
      <w:szCs w:val="20"/>
      <w:lang w:eastAsia="ar-SA"/>
    </w:rPr>
  </w:style>
  <w:style w:type="table" w:styleId="Tabela-Siatka">
    <w:name w:val="Table Grid"/>
    <w:basedOn w:val="Standardowy"/>
    <w:uiPriority w:val="59"/>
    <w:rsid w:val="002D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45D2"/>
    <w:pPr>
      <w:ind w:left="720"/>
      <w:contextualSpacing/>
    </w:pPr>
  </w:style>
  <w:style w:type="character" w:customStyle="1" w:styleId="Nagwek3Znak">
    <w:name w:val="Nagłówek 3 Znak"/>
    <w:basedOn w:val="Domylnaczcionkaakapitu"/>
    <w:link w:val="Nagwek3"/>
    <w:rsid w:val="00C2560A"/>
    <w:rPr>
      <w:rFonts w:ascii="Times New Roman" w:eastAsia="Times New Roman" w:hAnsi="Times New Roman" w:cs="Calibri"/>
      <w:b/>
      <w:sz w:val="24"/>
      <w:lang w:eastAsia="pl-PL"/>
    </w:rPr>
  </w:style>
  <w:style w:type="paragraph" w:styleId="Tekstpodstawowywcity2">
    <w:name w:val="Body Text Indent 2"/>
    <w:basedOn w:val="Normalny"/>
    <w:link w:val="Tekstpodstawowywcity2Znak"/>
    <w:uiPriority w:val="99"/>
    <w:unhideWhenUsed/>
    <w:rsid w:val="00513041"/>
    <w:pPr>
      <w:widowControl/>
      <w:suppressAutoHyphens w:val="0"/>
      <w:spacing w:after="120" w:line="480" w:lineRule="auto"/>
      <w:ind w:left="283"/>
    </w:pPr>
    <w:rPr>
      <w:rFonts w:eastAsia="Times New Roman"/>
      <w:color w:val="000000"/>
      <w:szCs w:val="24"/>
      <w:lang w:eastAsia="pl-PL"/>
    </w:rPr>
  </w:style>
  <w:style w:type="character" w:customStyle="1" w:styleId="Tekstpodstawowywcity2Znak">
    <w:name w:val="Tekst podstawowy wcięty 2 Znak"/>
    <w:basedOn w:val="Domylnaczcionkaakapitu"/>
    <w:link w:val="Tekstpodstawowywcity2"/>
    <w:uiPriority w:val="99"/>
    <w:rsid w:val="00513041"/>
    <w:rPr>
      <w:rFonts w:ascii="Times New Roman" w:eastAsia="Times New Roman" w:hAnsi="Times New Roman" w:cs="Times New Roman"/>
      <w:color w:val="000000"/>
      <w:sz w:val="24"/>
      <w:szCs w:val="24"/>
      <w:lang w:eastAsia="pl-PL"/>
    </w:rPr>
  </w:style>
  <w:style w:type="paragraph" w:customStyle="1" w:styleId="StandardowyStandardowy1">
    <w:name w:val="Standardowy.Standardowy1"/>
    <w:rsid w:val="00DB307C"/>
    <w:pPr>
      <w:suppressAutoHyphens/>
      <w:spacing w:after="0" w:line="240" w:lineRule="auto"/>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BD17F9"/>
    <w:pPr>
      <w:widowControl/>
      <w:suppressAutoHyphens w:val="0"/>
      <w:spacing w:after="120"/>
      <w:ind w:left="283"/>
    </w:pPr>
    <w:rPr>
      <w:rFonts w:eastAsia="Times New Roman"/>
      <w:color w:val="000000"/>
      <w:szCs w:val="24"/>
      <w:lang w:eastAsia="pl-PL"/>
    </w:rPr>
  </w:style>
  <w:style w:type="character" w:customStyle="1" w:styleId="TekstpodstawowywcityZnak">
    <w:name w:val="Tekst podstawowy wcięty Znak"/>
    <w:basedOn w:val="Domylnaczcionkaakapitu"/>
    <w:link w:val="Tekstpodstawowywcity"/>
    <w:rsid w:val="00BD17F9"/>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E756AC"/>
    <w:rPr>
      <w:color w:val="0000FF"/>
      <w:u w:val="single"/>
    </w:rPr>
  </w:style>
  <w:style w:type="character" w:customStyle="1" w:styleId="h1">
    <w:name w:val="h1"/>
    <w:basedOn w:val="Domylnaczcionkaakapitu"/>
    <w:rsid w:val="00BC2801"/>
  </w:style>
  <w:style w:type="character" w:customStyle="1" w:styleId="Nagwek4Znak">
    <w:name w:val="Nagłówek 4 Znak"/>
    <w:basedOn w:val="Domylnaczcionkaakapitu"/>
    <w:link w:val="Nagwek4"/>
    <w:uiPriority w:val="9"/>
    <w:rsid w:val="00BC2801"/>
    <w:rPr>
      <w:rFonts w:asciiTheme="majorHAnsi" w:eastAsiaTheme="majorEastAsia" w:hAnsiTheme="majorHAnsi" w:cstheme="majorBidi"/>
      <w:b/>
      <w:bCs/>
      <w:i/>
      <w:iCs/>
      <w:color w:val="4F81BD" w:themeColor="accent1"/>
      <w:sz w:val="24"/>
      <w:szCs w:val="20"/>
      <w:lang w:eastAsia="ar-SA"/>
    </w:rPr>
  </w:style>
  <w:style w:type="table" w:customStyle="1" w:styleId="Tabela-Siatka1">
    <w:name w:val="Tabela - Siatka1"/>
    <w:basedOn w:val="Standardowy"/>
    <w:next w:val="Tabela-Siatka"/>
    <w:uiPriority w:val="59"/>
    <w:rsid w:val="0010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91A"/>
    <w:pPr>
      <w:widowControl w:val="0"/>
      <w:suppressAutoHyphens/>
      <w:spacing w:after="0" w:line="240" w:lineRule="auto"/>
    </w:pPr>
    <w:rPr>
      <w:rFonts w:ascii="Times New Roman" w:eastAsia="Lucida Sans Unicode" w:hAnsi="Times New Roman" w:cs="Times New Roman"/>
      <w:sz w:val="24"/>
      <w:szCs w:val="20"/>
      <w:lang w:eastAsia="ar-SA"/>
    </w:rPr>
  </w:style>
  <w:style w:type="paragraph" w:styleId="Nagwek3">
    <w:name w:val="heading 3"/>
    <w:basedOn w:val="Normalny"/>
    <w:next w:val="Normalny"/>
    <w:link w:val="Nagwek3Znak"/>
    <w:qFormat/>
    <w:rsid w:val="00C2560A"/>
    <w:pPr>
      <w:keepNext/>
      <w:widowControl/>
      <w:suppressAutoHyphens w:val="0"/>
      <w:spacing w:before="120" w:after="120"/>
      <w:jc w:val="center"/>
      <w:outlineLvl w:val="2"/>
    </w:pPr>
    <w:rPr>
      <w:rFonts w:eastAsia="Times New Roman" w:cs="Calibri"/>
      <w:b/>
      <w:szCs w:val="22"/>
      <w:lang w:eastAsia="pl-PL"/>
    </w:rPr>
  </w:style>
  <w:style w:type="paragraph" w:styleId="Nagwek4">
    <w:name w:val="heading 4"/>
    <w:basedOn w:val="Normalny"/>
    <w:next w:val="Normalny"/>
    <w:link w:val="Nagwek4Znak"/>
    <w:uiPriority w:val="9"/>
    <w:unhideWhenUsed/>
    <w:qFormat/>
    <w:rsid w:val="00BC28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semiHidden/>
    <w:unhideWhenUsed/>
    <w:rsid w:val="00B9091A"/>
    <w:rPr>
      <w:sz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semiHidden/>
    <w:rsid w:val="00B9091A"/>
    <w:rPr>
      <w:rFonts w:ascii="Times New Roman" w:eastAsia="Lucida Sans Unicode" w:hAnsi="Times New Roman" w:cs="Times New Roman"/>
      <w:sz w:val="20"/>
      <w:szCs w:val="20"/>
      <w:lang w:eastAsia="ar-SA"/>
    </w:rPr>
  </w:style>
  <w:style w:type="paragraph" w:customStyle="1" w:styleId="Default">
    <w:name w:val="Default"/>
    <w:rsid w:val="00B9091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Odwoanieprzypisudolnego">
    <w:name w:val="footnote reference"/>
    <w:semiHidden/>
    <w:unhideWhenUsed/>
    <w:rsid w:val="00B9091A"/>
    <w:rPr>
      <w:vertAlign w:val="superscript"/>
    </w:rPr>
  </w:style>
  <w:style w:type="paragraph" w:styleId="Tekstdymka">
    <w:name w:val="Balloon Text"/>
    <w:basedOn w:val="Normalny"/>
    <w:link w:val="TekstdymkaZnak"/>
    <w:uiPriority w:val="99"/>
    <w:semiHidden/>
    <w:unhideWhenUsed/>
    <w:rsid w:val="00F26614"/>
    <w:rPr>
      <w:rFonts w:ascii="Tahoma" w:hAnsi="Tahoma" w:cs="Tahoma"/>
      <w:sz w:val="16"/>
      <w:szCs w:val="16"/>
    </w:rPr>
  </w:style>
  <w:style w:type="character" w:customStyle="1" w:styleId="TekstdymkaZnak">
    <w:name w:val="Tekst dymka Znak"/>
    <w:basedOn w:val="Domylnaczcionkaakapitu"/>
    <w:link w:val="Tekstdymka"/>
    <w:uiPriority w:val="99"/>
    <w:semiHidden/>
    <w:rsid w:val="00F26614"/>
    <w:rPr>
      <w:rFonts w:ascii="Tahoma" w:eastAsia="Lucida Sans Unicode" w:hAnsi="Tahoma" w:cs="Tahoma"/>
      <w:sz w:val="16"/>
      <w:szCs w:val="16"/>
      <w:lang w:eastAsia="ar-SA"/>
    </w:rPr>
  </w:style>
  <w:style w:type="paragraph" w:styleId="Nagwek">
    <w:name w:val="header"/>
    <w:basedOn w:val="Normalny"/>
    <w:link w:val="NagwekZnak"/>
    <w:uiPriority w:val="99"/>
    <w:unhideWhenUsed/>
    <w:rsid w:val="00B14C35"/>
    <w:pPr>
      <w:tabs>
        <w:tab w:val="center" w:pos="4536"/>
        <w:tab w:val="right" w:pos="9072"/>
      </w:tabs>
    </w:pPr>
  </w:style>
  <w:style w:type="character" w:customStyle="1" w:styleId="NagwekZnak">
    <w:name w:val="Nagłówek Znak"/>
    <w:basedOn w:val="Domylnaczcionkaakapitu"/>
    <w:link w:val="Nagwek"/>
    <w:uiPriority w:val="99"/>
    <w:rsid w:val="00B14C35"/>
    <w:rPr>
      <w:rFonts w:ascii="Times New Roman" w:eastAsia="Lucida Sans Unicode" w:hAnsi="Times New Roman" w:cs="Times New Roman"/>
      <w:sz w:val="24"/>
      <w:szCs w:val="20"/>
      <w:lang w:eastAsia="ar-SA"/>
    </w:rPr>
  </w:style>
  <w:style w:type="paragraph" w:styleId="Stopka">
    <w:name w:val="footer"/>
    <w:basedOn w:val="Normalny"/>
    <w:link w:val="StopkaZnak"/>
    <w:uiPriority w:val="99"/>
    <w:unhideWhenUsed/>
    <w:rsid w:val="00B14C35"/>
    <w:pPr>
      <w:tabs>
        <w:tab w:val="center" w:pos="4536"/>
        <w:tab w:val="right" w:pos="9072"/>
      </w:tabs>
    </w:pPr>
  </w:style>
  <w:style w:type="character" w:customStyle="1" w:styleId="StopkaZnak">
    <w:name w:val="Stopka Znak"/>
    <w:basedOn w:val="Domylnaczcionkaakapitu"/>
    <w:link w:val="Stopka"/>
    <w:uiPriority w:val="99"/>
    <w:rsid w:val="00B14C35"/>
    <w:rPr>
      <w:rFonts w:ascii="Times New Roman" w:eastAsia="Lucida Sans Unicode" w:hAnsi="Times New Roman" w:cs="Times New Roman"/>
      <w:sz w:val="24"/>
      <w:szCs w:val="20"/>
      <w:lang w:eastAsia="ar-SA"/>
    </w:rPr>
  </w:style>
  <w:style w:type="table" w:styleId="Tabela-Siatka">
    <w:name w:val="Table Grid"/>
    <w:basedOn w:val="Standardowy"/>
    <w:uiPriority w:val="59"/>
    <w:rsid w:val="002D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D45D2"/>
    <w:pPr>
      <w:ind w:left="720"/>
      <w:contextualSpacing/>
    </w:pPr>
  </w:style>
  <w:style w:type="character" w:customStyle="1" w:styleId="Nagwek3Znak">
    <w:name w:val="Nagłówek 3 Znak"/>
    <w:basedOn w:val="Domylnaczcionkaakapitu"/>
    <w:link w:val="Nagwek3"/>
    <w:rsid w:val="00C2560A"/>
    <w:rPr>
      <w:rFonts w:ascii="Times New Roman" w:eastAsia="Times New Roman" w:hAnsi="Times New Roman" w:cs="Calibri"/>
      <w:b/>
      <w:sz w:val="24"/>
      <w:lang w:eastAsia="pl-PL"/>
    </w:rPr>
  </w:style>
  <w:style w:type="paragraph" w:styleId="Tekstpodstawowywcity2">
    <w:name w:val="Body Text Indent 2"/>
    <w:basedOn w:val="Normalny"/>
    <w:link w:val="Tekstpodstawowywcity2Znak"/>
    <w:uiPriority w:val="99"/>
    <w:unhideWhenUsed/>
    <w:rsid w:val="00513041"/>
    <w:pPr>
      <w:widowControl/>
      <w:suppressAutoHyphens w:val="0"/>
      <w:spacing w:after="120" w:line="480" w:lineRule="auto"/>
      <w:ind w:left="283"/>
    </w:pPr>
    <w:rPr>
      <w:rFonts w:eastAsia="Times New Roman"/>
      <w:color w:val="000000"/>
      <w:szCs w:val="24"/>
      <w:lang w:eastAsia="pl-PL"/>
    </w:rPr>
  </w:style>
  <w:style w:type="character" w:customStyle="1" w:styleId="Tekstpodstawowywcity2Znak">
    <w:name w:val="Tekst podstawowy wcięty 2 Znak"/>
    <w:basedOn w:val="Domylnaczcionkaakapitu"/>
    <w:link w:val="Tekstpodstawowywcity2"/>
    <w:uiPriority w:val="99"/>
    <w:rsid w:val="00513041"/>
    <w:rPr>
      <w:rFonts w:ascii="Times New Roman" w:eastAsia="Times New Roman" w:hAnsi="Times New Roman" w:cs="Times New Roman"/>
      <w:color w:val="000000"/>
      <w:sz w:val="24"/>
      <w:szCs w:val="24"/>
      <w:lang w:eastAsia="pl-PL"/>
    </w:rPr>
  </w:style>
  <w:style w:type="paragraph" w:customStyle="1" w:styleId="StandardowyStandardowy1">
    <w:name w:val="Standardowy.Standardowy1"/>
    <w:rsid w:val="00DB307C"/>
    <w:pPr>
      <w:suppressAutoHyphens/>
      <w:spacing w:after="0" w:line="240" w:lineRule="auto"/>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BD17F9"/>
    <w:pPr>
      <w:widowControl/>
      <w:suppressAutoHyphens w:val="0"/>
      <w:spacing w:after="120"/>
      <w:ind w:left="283"/>
    </w:pPr>
    <w:rPr>
      <w:rFonts w:eastAsia="Times New Roman"/>
      <w:color w:val="000000"/>
      <w:szCs w:val="24"/>
      <w:lang w:eastAsia="pl-PL"/>
    </w:rPr>
  </w:style>
  <w:style w:type="character" w:customStyle="1" w:styleId="TekstpodstawowywcityZnak">
    <w:name w:val="Tekst podstawowy wcięty Znak"/>
    <w:basedOn w:val="Domylnaczcionkaakapitu"/>
    <w:link w:val="Tekstpodstawowywcity"/>
    <w:rsid w:val="00BD17F9"/>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E756AC"/>
    <w:rPr>
      <w:color w:val="0000FF"/>
      <w:u w:val="single"/>
    </w:rPr>
  </w:style>
  <w:style w:type="character" w:customStyle="1" w:styleId="h1">
    <w:name w:val="h1"/>
    <w:basedOn w:val="Domylnaczcionkaakapitu"/>
    <w:rsid w:val="00BC2801"/>
  </w:style>
  <w:style w:type="character" w:customStyle="1" w:styleId="Nagwek4Znak">
    <w:name w:val="Nagłówek 4 Znak"/>
    <w:basedOn w:val="Domylnaczcionkaakapitu"/>
    <w:link w:val="Nagwek4"/>
    <w:uiPriority w:val="9"/>
    <w:rsid w:val="00BC2801"/>
    <w:rPr>
      <w:rFonts w:asciiTheme="majorHAnsi" w:eastAsiaTheme="majorEastAsia" w:hAnsiTheme="majorHAnsi" w:cstheme="majorBidi"/>
      <w:b/>
      <w:bCs/>
      <w:i/>
      <w:iCs/>
      <w:color w:val="4F81BD" w:themeColor="accent1"/>
      <w:sz w:val="24"/>
      <w:szCs w:val="20"/>
      <w:lang w:eastAsia="ar-SA"/>
    </w:rPr>
  </w:style>
  <w:style w:type="table" w:customStyle="1" w:styleId="Tabela-Siatka1">
    <w:name w:val="Tabela - Siatka1"/>
    <w:basedOn w:val="Standardowy"/>
    <w:next w:val="Tabela-Siatka"/>
    <w:uiPriority w:val="59"/>
    <w:rsid w:val="0010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4630">
      <w:bodyDiv w:val="1"/>
      <w:marLeft w:val="0"/>
      <w:marRight w:val="0"/>
      <w:marTop w:val="0"/>
      <w:marBottom w:val="0"/>
      <w:divBdr>
        <w:top w:val="none" w:sz="0" w:space="0" w:color="auto"/>
        <w:left w:val="none" w:sz="0" w:space="0" w:color="auto"/>
        <w:bottom w:val="none" w:sz="0" w:space="0" w:color="auto"/>
        <w:right w:val="none" w:sz="0" w:space="0" w:color="auto"/>
      </w:divBdr>
    </w:div>
    <w:div w:id="1491872281">
      <w:bodyDiv w:val="1"/>
      <w:marLeft w:val="0"/>
      <w:marRight w:val="0"/>
      <w:marTop w:val="0"/>
      <w:marBottom w:val="0"/>
      <w:divBdr>
        <w:top w:val="none" w:sz="0" w:space="0" w:color="auto"/>
        <w:left w:val="none" w:sz="0" w:space="0" w:color="auto"/>
        <w:bottom w:val="none" w:sz="0" w:space="0" w:color="auto"/>
        <w:right w:val="none" w:sz="0" w:space="0" w:color="auto"/>
      </w:divBdr>
    </w:div>
    <w:div w:id="1745950290">
      <w:bodyDiv w:val="1"/>
      <w:marLeft w:val="0"/>
      <w:marRight w:val="0"/>
      <w:marTop w:val="0"/>
      <w:marBottom w:val="0"/>
      <w:divBdr>
        <w:top w:val="none" w:sz="0" w:space="0" w:color="auto"/>
        <w:left w:val="none" w:sz="0" w:space="0" w:color="auto"/>
        <w:bottom w:val="none" w:sz="0" w:space="0" w:color="auto"/>
        <w:right w:val="none" w:sz="0" w:space="0" w:color="auto"/>
      </w:divBdr>
    </w:div>
    <w:div w:id="1877935239">
      <w:bodyDiv w:val="1"/>
      <w:marLeft w:val="0"/>
      <w:marRight w:val="0"/>
      <w:marTop w:val="0"/>
      <w:marBottom w:val="0"/>
      <w:divBdr>
        <w:top w:val="none" w:sz="0" w:space="0" w:color="auto"/>
        <w:left w:val="none" w:sz="0" w:space="0" w:color="auto"/>
        <w:bottom w:val="none" w:sz="0" w:space="0" w:color="auto"/>
        <w:right w:val="none" w:sz="0" w:space="0" w:color="auto"/>
      </w:divBdr>
    </w:div>
    <w:div w:id="1879975314">
      <w:bodyDiv w:val="1"/>
      <w:marLeft w:val="0"/>
      <w:marRight w:val="0"/>
      <w:marTop w:val="0"/>
      <w:marBottom w:val="0"/>
      <w:divBdr>
        <w:top w:val="none" w:sz="0" w:space="0" w:color="auto"/>
        <w:left w:val="none" w:sz="0" w:space="0" w:color="auto"/>
        <w:bottom w:val="none" w:sz="0" w:space="0" w:color="auto"/>
        <w:right w:val="none" w:sz="0" w:space="0" w:color="auto"/>
      </w:divBdr>
    </w:div>
    <w:div w:id="19273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B28D-B2FF-4F67-BAA3-9A3F087B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1989</Words>
  <Characters>11935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Górka Monika</dc:creator>
  <cp:lastModifiedBy>Artur Bartkowiak</cp:lastModifiedBy>
  <cp:revision>2</cp:revision>
  <cp:lastPrinted>2021-01-18T09:24:00Z</cp:lastPrinted>
  <dcterms:created xsi:type="dcterms:W3CDTF">2021-01-19T19:16:00Z</dcterms:created>
  <dcterms:modified xsi:type="dcterms:W3CDTF">2021-01-19T19:16:00Z</dcterms:modified>
</cp:coreProperties>
</file>